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360" w:lineRule="auto"/>
        <w:rPr>
          <w:rFonts w:hint="eastAsia"/>
          <w:sz w:val="28"/>
          <w:szCs w:val="28"/>
          <w:lang w:val="en-US" w:eastAsia="zh-Hans"/>
        </w:rPr>
      </w:pPr>
      <w:r>
        <w:rPr>
          <w:rFonts w:hint="eastAsia"/>
          <w:sz w:val="28"/>
          <w:szCs w:val="28"/>
        </w:rPr>
        <w:br w:type="textWrapping"/>
      </w:r>
    </w:p>
    <w:p>
      <w:pPr>
        <w:bidi w:val="0"/>
        <w:spacing w:line="360" w:lineRule="auto"/>
        <w:rPr>
          <w:rFonts w:hint="eastAsia"/>
          <w:sz w:val="28"/>
          <w:szCs w:val="28"/>
        </w:rPr>
      </w:pPr>
      <w:bookmarkStart w:id="0" w:name="_Toc19541"/>
    </w:p>
    <w:p>
      <w:pPr>
        <w:bidi w:val="0"/>
        <w:spacing w:line="360" w:lineRule="auto"/>
        <w:rPr>
          <w:rFonts w:hint="eastAsia"/>
          <w:sz w:val="28"/>
          <w:szCs w:val="28"/>
        </w:rPr>
      </w:pPr>
    </w:p>
    <w:p>
      <w:pPr>
        <w:bidi w:val="0"/>
        <w:spacing w:line="360" w:lineRule="auto"/>
        <w:rPr>
          <w:rFonts w:hint="eastAsia"/>
          <w:sz w:val="28"/>
          <w:szCs w:val="28"/>
        </w:rPr>
      </w:pPr>
    </w:p>
    <w:bookmarkEnd w:id="0"/>
    <w:p>
      <w:pPr>
        <w:bidi w:val="0"/>
        <w:spacing w:line="360" w:lineRule="auto"/>
        <w:rPr>
          <w:rFonts w:hint="eastAsia"/>
          <w:sz w:val="28"/>
          <w:szCs w:val="28"/>
        </w:rPr>
      </w:pPr>
    </w:p>
    <w:p>
      <w:pPr>
        <w:pStyle w:val="9"/>
        <w:spacing w:line="360" w:lineRule="auto"/>
        <w:jc w:val="center"/>
        <w:outlineLvl w:val="0"/>
        <w:rPr>
          <w:rFonts w:hint="eastAsia" w:ascii="宋体" w:hAnsi="宋体" w:eastAsia="宋体" w:cs="宋体"/>
          <w:sz w:val="36"/>
          <w:szCs w:val="36"/>
        </w:rPr>
      </w:pPr>
      <w:r>
        <w:rPr>
          <w:rFonts w:hint="eastAsia" w:ascii="宋体" w:hAnsi="宋体" w:eastAsia="宋体" w:cs="宋体"/>
          <w:b/>
          <w:sz w:val="36"/>
          <w:szCs w:val="36"/>
        </w:rPr>
        <w:t>2023年中国（福建）国际贸易单一窗口报关技能竞赛服务项目竞争性谈判文件</w:t>
      </w:r>
    </w:p>
    <w:p>
      <w:pPr>
        <w:bidi w:val="0"/>
        <w:spacing w:line="360" w:lineRule="auto"/>
        <w:rPr>
          <w:rFonts w:hint="eastAsia"/>
        </w:rPr>
      </w:pPr>
      <w:bookmarkStart w:id="1" w:name="_Toc12866"/>
    </w:p>
    <w:p>
      <w:pPr>
        <w:bidi w:val="0"/>
        <w:rPr>
          <w:rFonts w:hint="eastAsia"/>
          <w:sz w:val="44"/>
          <w:szCs w:val="44"/>
        </w:rPr>
      </w:pPr>
    </w:p>
    <w:p>
      <w:pPr>
        <w:bidi w:val="0"/>
        <w:rPr>
          <w:rFonts w:hint="eastAsia"/>
          <w:sz w:val="44"/>
          <w:szCs w:val="44"/>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rPr>
      </w:pPr>
    </w:p>
    <w:p>
      <w:pPr>
        <w:bidi w:val="0"/>
        <w:rPr>
          <w:rFonts w:hint="eastAsia"/>
          <w:sz w:val="44"/>
          <w:szCs w:val="44"/>
        </w:rPr>
      </w:pPr>
    </w:p>
    <w:p>
      <w:pPr>
        <w:bidi w:val="0"/>
        <w:spacing w:line="360" w:lineRule="auto"/>
        <w:rPr>
          <w:rFonts w:hint="eastAsia"/>
        </w:rPr>
      </w:pPr>
    </w:p>
    <w:p>
      <w:pPr>
        <w:pStyle w:val="9"/>
        <w:spacing w:line="360" w:lineRule="auto"/>
        <w:jc w:val="center"/>
        <w:outlineLvl w:val="0"/>
        <w:rPr>
          <w:rFonts w:hint="eastAsia" w:ascii="宋体" w:hAnsi="宋体" w:eastAsia="宋体" w:cs="宋体"/>
          <w:sz w:val="32"/>
          <w:szCs w:val="32"/>
          <w:lang w:eastAsia="zh-CN"/>
        </w:rPr>
      </w:pPr>
      <w:r>
        <w:rPr>
          <w:rFonts w:hint="eastAsia" w:ascii="宋体" w:hAnsi="宋体" w:eastAsia="宋体" w:cs="宋体"/>
          <w:b/>
          <w:sz w:val="32"/>
          <w:szCs w:val="32"/>
        </w:rPr>
        <w:t>采购人：</w:t>
      </w:r>
      <w:bookmarkEnd w:id="1"/>
      <w:r>
        <w:rPr>
          <w:rFonts w:hint="eastAsia" w:ascii="宋体" w:hAnsi="宋体" w:eastAsia="宋体" w:cs="宋体"/>
          <w:b/>
          <w:sz w:val="32"/>
          <w:szCs w:val="32"/>
          <w:lang w:val="en-US" w:eastAsia="zh-CN"/>
        </w:rPr>
        <w:t>福建省电子口岸运营服务有限公司</w:t>
      </w:r>
    </w:p>
    <w:p>
      <w:pPr>
        <w:pStyle w:val="9"/>
        <w:spacing w:line="360" w:lineRule="auto"/>
        <w:jc w:val="center"/>
        <w:outlineLvl w:val="0"/>
        <w:rPr>
          <w:rFonts w:hint="eastAsia" w:ascii="宋体" w:hAnsi="宋体" w:eastAsia="宋体" w:cs="宋体"/>
          <w:sz w:val="32"/>
          <w:szCs w:val="32"/>
        </w:rPr>
      </w:pPr>
      <w:bookmarkStart w:id="2" w:name="_Toc10725"/>
      <w:r>
        <w:rPr>
          <w:rFonts w:hint="eastAsia" w:ascii="宋体" w:hAnsi="宋体" w:eastAsia="宋体" w:cs="宋体"/>
          <w:b/>
          <w:sz w:val="32"/>
          <w:szCs w:val="32"/>
        </w:rPr>
        <w:t>编制时间：202</w:t>
      </w:r>
      <w:r>
        <w:rPr>
          <w:rFonts w:hint="eastAsia" w:ascii="宋体" w:hAnsi="宋体" w:eastAsia="宋体" w:cs="宋体"/>
          <w:b/>
          <w:sz w:val="32"/>
          <w:szCs w:val="32"/>
          <w:lang w:val="en-US" w:eastAsia="zh-CN"/>
        </w:rPr>
        <w:t>4</w:t>
      </w:r>
      <w:r>
        <w:rPr>
          <w:rFonts w:hint="eastAsia" w:ascii="宋体" w:hAnsi="宋体" w:eastAsia="宋体" w:cs="宋体"/>
          <w:b/>
          <w:sz w:val="32"/>
          <w:szCs w:val="32"/>
        </w:rPr>
        <w:t>年</w:t>
      </w:r>
      <w:r>
        <w:rPr>
          <w:rFonts w:hint="eastAsia" w:ascii="宋体" w:hAnsi="宋体" w:eastAsia="宋体" w:cs="宋体"/>
          <w:b/>
          <w:sz w:val="32"/>
          <w:szCs w:val="32"/>
          <w:lang w:val="en-US" w:eastAsia="zh-CN"/>
        </w:rPr>
        <w:t>4</w:t>
      </w:r>
      <w:r>
        <w:rPr>
          <w:rFonts w:hint="eastAsia" w:ascii="宋体" w:hAnsi="宋体" w:eastAsia="宋体" w:cs="宋体"/>
          <w:b/>
          <w:sz w:val="32"/>
          <w:szCs w:val="32"/>
        </w:rPr>
        <w:t>月</w:t>
      </w:r>
      <w:bookmarkEnd w:id="2"/>
    </w:p>
    <w:p>
      <w:pPr>
        <w:pStyle w:val="9"/>
        <w:spacing w:line="360" w:lineRule="auto"/>
        <w:rPr>
          <w:rFonts w:hint="eastAsia" w:ascii="宋体" w:hAnsi="宋体" w:eastAsia="宋体" w:cs="宋体"/>
          <w:sz w:val="24"/>
          <w:szCs w:val="24"/>
        </w:rPr>
      </w:pPr>
      <w:r>
        <w:rPr>
          <w:rFonts w:hint="eastAsia" w:ascii="宋体" w:hAnsi="宋体" w:eastAsia="宋体" w:cs="宋体"/>
          <w:sz w:val="32"/>
          <w:szCs w:val="32"/>
        </w:rPr>
        <w:t xml:space="preserve"> </w:t>
      </w:r>
      <w:r>
        <w:rPr>
          <w:rFonts w:hint="eastAsia" w:ascii="宋体" w:hAnsi="宋体" w:eastAsia="宋体" w:cs="宋体"/>
          <w:sz w:val="36"/>
          <w:szCs w:val="36"/>
        </w:rPr>
        <w:br w:type="textWrapping"/>
      </w:r>
      <w:r>
        <w:rPr>
          <w:rFonts w:hint="eastAsia" w:ascii="宋体" w:hAnsi="宋体" w:eastAsia="宋体" w:cs="宋体"/>
          <w:sz w:val="24"/>
          <w:szCs w:val="24"/>
        </w:rPr>
        <w:br w:type="page"/>
      </w:r>
    </w:p>
    <w:p>
      <w:pPr>
        <w:pStyle w:val="9"/>
        <w:spacing w:line="360" w:lineRule="auto"/>
        <w:ind w:firstLine="482" w:firstLineChars="200"/>
        <w:jc w:val="center"/>
        <w:rPr>
          <w:rFonts w:hint="eastAsia" w:ascii="宋体" w:hAnsi="宋体"/>
          <w:sz w:val="24"/>
        </w:rPr>
      </w:pPr>
      <w:bookmarkStart w:id="3" w:name="_Toc11489"/>
      <w:r>
        <w:rPr>
          <w:rFonts w:hint="eastAsia" w:ascii="宋体" w:hAnsi="宋体" w:eastAsia="宋体" w:cs="宋体"/>
          <w:b/>
          <w:sz w:val="24"/>
          <w:szCs w:val="24"/>
        </w:rPr>
        <w:t>第一章 竞争性谈判</w:t>
      </w:r>
      <w:bookmarkEnd w:id="3"/>
      <w:r>
        <w:rPr>
          <w:rFonts w:hint="eastAsia" w:ascii="宋体" w:hAnsi="宋体" w:eastAsia="宋体" w:cs="宋体"/>
          <w:b/>
          <w:sz w:val="24"/>
          <w:szCs w:val="24"/>
        </w:rPr>
        <w:t>采购公告/采购邀请书</w:t>
      </w:r>
    </w:p>
    <w:p>
      <w:pPr>
        <w:pStyle w:val="9"/>
        <w:spacing w:line="360" w:lineRule="auto"/>
        <w:ind w:firstLine="480" w:firstLineChars="200"/>
        <w:jc w:val="both"/>
        <w:rPr>
          <w:rFonts w:hint="eastAsia" w:ascii="宋体" w:hAnsi="宋体" w:eastAsia="宋体" w:cs="宋体"/>
          <w:sz w:val="24"/>
          <w:szCs w:val="24"/>
          <w:lang w:val="en-US" w:eastAsia="zh-CN"/>
        </w:rPr>
      </w:pPr>
      <w:r>
        <w:rPr>
          <w:rFonts w:hint="eastAsia" w:ascii="宋体" w:hAnsi="宋体"/>
          <w:sz w:val="24"/>
        </w:rPr>
        <w:t>福建省电子口岸运营服务有限公司现对</w:t>
      </w:r>
      <w:r>
        <w:rPr>
          <w:rFonts w:hint="eastAsia" w:ascii="宋体" w:hAnsi="宋体" w:eastAsia="宋体" w:cs="宋体"/>
          <w:sz w:val="24"/>
          <w:szCs w:val="24"/>
        </w:rPr>
        <w:t>2023年中国（福建）国际贸易单一窗口报关技能竞赛服务项目</w:t>
      </w:r>
      <w:r>
        <w:rPr>
          <w:rFonts w:hint="eastAsia" w:ascii="宋体" w:hAnsi="宋体" w:eastAsia="宋体" w:cs="宋体"/>
          <w:sz w:val="24"/>
          <w:szCs w:val="24"/>
          <w:lang w:val="en-US" w:eastAsia="zh-CN"/>
        </w:rPr>
        <w:t>进行采购，现欢迎国内合格的供应商前来参加。 ：</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rPr>
        <w:t>1.项目名称： 2023年中国（福建）国际贸易单一窗口报关技能竞赛服务项目</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.采购内容及要求：</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采购包1：</w:t>
      </w:r>
    </w:p>
    <w:p>
      <w:pPr>
        <w:pStyle w:val="9"/>
        <w:spacing w:line="360" w:lineRule="auto"/>
        <w:jc w:val="both"/>
        <w:rPr>
          <w:rFonts w:hint="eastAsia" w:ascii="宋体" w:hAnsi="宋体" w:eastAsia="宋体" w:cs="宋体"/>
          <w:sz w:val="24"/>
          <w:szCs w:val="24"/>
        </w:rPr>
      </w:pPr>
      <w:r>
        <w:rPr>
          <w:rFonts w:hint="eastAsia" w:ascii="宋体" w:hAnsi="宋体" w:eastAsia="宋体" w:cs="宋体"/>
          <w:sz w:val="24"/>
          <w:szCs w:val="24"/>
        </w:rPr>
        <w:t>采购包预算金额（元）:</w:t>
      </w:r>
      <w:r>
        <w:rPr>
          <w:rFonts w:hint="eastAsia" w:ascii="宋体" w:hAnsi="宋体" w:eastAsia="宋体" w:cs="宋体"/>
          <w:sz w:val="24"/>
          <w:szCs w:val="24"/>
          <w:lang w:val="en-US" w:eastAsia="zh-CN"/>
        </w:rPr>
        <w:t>109</w:t>
      </w:r>
      <w:r>
        <w:rPr>
          <w:rFonts w:hint="eastAsia" w:ascii="宋体" w:hAnsi="宋体" w:eastAsia="宋体" w:cs="宋体"/>
          <w:sz w:val="24"/>
          <w:szCs w:val="24"/>
        </w:rPr>
        <w:t>,000.00</w:t>
      </w:r>
    </w:p>
    <w:p>
      <w:pPr>
        <w:pStyle w:val="9"/>
        <w:spacing w:line="360" w:lineRule="auto"/>
        <w:jc w:val="both"/>
        <w:rPr>
          <w:rFonts w:hint="eastAsia" w:ascii="宋体" w:hAnsi="宋体" w:eastAsia="宋体" w:cs="宋体"/>
          <w:sz w:val="24"/>
          <w:szCs w:val="24"/>
        </w:rPr>
      </w:pPr>
      <w:r>
        <w:rPr>
          <w:rFonts w:hint="eastAsia" w:ascii="宋体" w:hAnsi="宋体" w:eastAsia="宋体" w:cs="宋体"/>
          <w:sz w:val="24"/>
          <w:szCs w:val="24"/>
        </w:rPr>
        <w:t xml:space="preserve">采购包最高限价（元）: </w:t>
      </w:r>
      <w:r>
        <w:rPr>
          <w:rFonts w:hint="eastAsia" w:ascii="宋体" w:hAnsi="宋体" w:eastAsia="宋体" w:cs="宋体"/>
          <w:sz w:val="24"/>
          <w:szCs w:val="24"/>
          <w:lang w:val="en-US" w:eastAsia="zh-CN"/>
        </w:rPr>
        <w:t>109</w:t>
      </w:r>
      <w:r>
        <w:rPr>
          <w:rFonts w:hint="eastAsia" w:ascii="宋体" w:hAnsi="宋体" w:eastAsia="宋体" w:cs="宋体"/>
          <w:sz w:val="24"/>
          <w:szCs w:val="24"/>
        </w:rPr>
        <w:t>,000.00</w:t>
      </w:r>
    </w:p>
    <w:tbl>
      <w:tblPr>
        <w:tblStyle w:val="6"/>
        <w:tblW w:w="87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3749"/>
        <w:gridCol w:w="1009"/>
        <w:gridCol w:w="1833"/>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96"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3749"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标的名称</w:t>
            </w:r>
          </w:p>
        </w:tc>
        <w:tc>
          <w:tcPr>
            <w:tcW w:w="1009"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数量</w:t>
            </w:r>
          </w:p>
        </w:tc>
        <w:tc>
          <w:tcPr>
            <w:tcW w:w="1833"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标的金额 （元）</w:t>
            </w:r>
          </w:p>
        </w:tc>
        <w:tc>
          <w:tcPr>
            <w:tcW w:w="1330"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796"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749"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rPr>
              <w:t>2023年中国（福建）国际贸易单一窗口报关技能竞赛服务项目</w:t>
            </w:r>
          </w:p>
        </w:tc>
        <w:tc>
          <w:tcPr>
            <w:tcW w:w="1009" w:type="dxa"/>
          </w:tcPr>
          <w:p>
            <w:pPr>
              <w:pStyle w:val="9"/>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1</w:t>
            </w:r>
          </w:p>
        </w:tc>
        <w:tc>
          <w:tcPr>
            <w:tcW w:w="1833" w:type="dxa"/>
          </w:tcPr>
          <w:p>
            <w:pPr>
              <w:pStyle w:val="9"/>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109</w:t>
            </w:r>
            <w:r>
              <w:rPr>
                <w:rFonts w:hint="eastAsia" w:ascii="宋体" w:hAnsi="宋体" w:eastAsia="宋体" w:cs="宋体"/>
                <w:sz w:val="24"/>
                <w:szCs w:val="24"/>
              </w:rPr>
              <w:t>,000.00</w:t>
            </w:r>
          </w:p>
        </w:tc>
        <w:tc>
          <w:tcPr>
            <w:tcW w:w="1330" w:type="dxa"/>
          </w:tcPr>
          <w:p>
            <w:pPr>
              <w:pStyle w:val="9"/>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项</w:t>
            </w:r>
          </w:p>
        </w:tc>
      </w:tr>
    </w:tbl>
    <w:p>
      <w:pPr>
        <w:pStyle w:val="9"/>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.1法定条件：符合《中华人民共和国政府采购法》第二十二条第一款规定的条件。</w:t>
      </w:r>
    </w:p>
    <w:p>
      <w:pPr>
        <w:pStyle w:val="9"/>
        <w:spacing w:line="360" w:lineRule="auto"/>
        <w:ind w:firstLine="482" w:firstLineChars="200"/>
        <w:jc w:val="both"/>
        <w:rPr>
          <w:rFonts w:hint="eastAsia" w:ascii="宋体" w:hAnsi="宋体" w:eastAsia="宋体" w:cs="宋体"/>
          <w:sz w:val="24"/>
          <w:szCs w:val="24"/>
        </w:rPr>
      </w:pPr>
      <w:r>
        <w:rPr>
          <w:rFonts w:hint="eastAsia" w:ascii="宋体" w:hAnsi="宋体" w:eastAsia="宋体" w:cs="宋体"/>
          <w:b/>
          <w:sz w:val="24"/>
          <w:szCs w:val="24"/>
        </w:rPr>
        <w:t>※根据上述资格要求，供应商响应文件中应提交的“资格证明文件”相关规定和资料要求，详见竞争性谈判须知前附表。</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4</w:t>
      </w:r>
      <w:r>
        <w:rPr>
          <w:rFonts w:hint="eastAsia" w:ascii="宋体" w:hAnsi="宋体" w:eastAsia="宋体" w:cs="宋体"/>
          <w:b/>
          <w:sz w:val="24"/>
          <w:szCs w:val="24"/>
        </w:rPr>
        <w:t>.竞争性谈判文件获取期限：</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详见谈判公告或更正公告（若有），若不一致，以更正公告（若有）为准。</w:t>
      </w:r>
    </w:p>
    <w:p>
      <w:pPr>
        <w:pStyle w:val="9"/>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.1如果采购过程中有发出更正公告，采购人将根据实际情况确定是否延长文件获取期限，则文件获取截止时间以更正公告中的约定为准。</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5</w:t>
      </w:r>
      <w:r>
        <w:rPr>
          <w:rFonts w:hint="eastAsia" w:ascii="宋体" w:hAnsi="宋体" w:eastAsia="宋体" w:cs="宋体"/>
          <w:b/>
          <w:sz w:val="24"/>
          <w:szCs w:val="24"/>
        </w:rPr>
        <w:t>.获取采购文件时间、地点、方式：</w:t>
      </w:r>
    </w:p>
    <w:p>
      <w:pPr>
        <w:pStyle w:val="9"/>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.1采购文件的提供期限：详见谈判公告或更正公告（若有），若不一致，以更正公告（若有）为准。</w:t>
      </w:r>
    </w:p>
    <w:p>
      <w:pPr>
        <w:pStyle w:val="9"/>
        <w:spacing w:line="36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.2获取地点及方式：通过</w:t>
      </w:r>
      <w:r>
        <w:rPr>
          <w:rFonts w:hint="eastAsia" w:ascii="宋体" w:hAnsi="宋体" w:eastAsia="宋体" w:cs="宋体"/>
          <w:sz w:val="24"/>
          <w:szCs w:val="24"/>
          <w:lang w:val="en-US" w:eastAsia="zh-CN"/>
        </w:rPr>
        <w:t>福建省电子口岸运营服务有限公司官网发布公告查看下载</w:t>
      </w:r>
      <w:r>
        <w:rPr>
          <w:rFonts w:hint="eastAsia" w:ascii="宋体" w:hAnsi="宋体" w:eastAsia="宋体" w:cs="宋体"/>
          <w:sz w:val="24"/>
          <w:szCs w:val="24"/>
        </w:rPr>
        <w:t>。</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6</w:t>
      </w:r>
      <w:r>
        <w:rPr>
          <w:rFonts w:hint="eastAsia" w:ascii="宋体" w:hAnsi="宋体" w:eastAsia="宋体" w:cs="宋体"/>
          <w:b/>
          <w:sz w:val="24"/>
          <w:szCs w:val="24"/>
        </w:rPr>
        <w:t>.采购文件售价：0元。</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7</w:t>
      </w:r>
      <w:r>
        <w:rPr>
          <w:rFonts w:hint="eastAsia" w:ascii="宋体" w:hAnsi="宋体" w:eastAsia="宋体" w:cs="宋体"/>
          <w:b/>
          <w:sz w:val="24"/>
          <w:szCs w:val="24"/>
        </w:rPr>
        <w:t>.首次响应文件递交截止时间及地点：</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highlight w:val="none"/>
        </w:rPr>
        <w:t>2024年4月</w:t>
      </w:r>
      <w:r>
        <w:rPr>
          <w:rFonts w:hint="eastAsia" w:ascii="宋体" w:hAnsi="宋体" w:eastAsia="宋体" w:cs="宋体"/>
          <w:sz w:val="24"/>
          <w:szCs w:val="24"/>
          <w:highlight w:val="none"/>
          <w:lang w:val="en-US" w:eastAsia="zh-CN"/>
        </w:rPr>
        <w:t>17</w:t>
      </w:r>
      <w:r>
        <w:rPr>
          <w:rFonts w:hint="eastAsia" w:ascii="宋体" w:hAnsi="宋体" w:eastAsia="宋体" w:cs="宋体"/>
          <w:sz w:val="24"/>
          <w:szCs w:val="24"/>
          <w:highlight w:val="none"/>
        </w:rPr>
        <w:t>日下午1</w:t>
      </w:r>
      <w:r>
        <w:rPr>
          <w:rFonts w:hint="eastAsia" w:ascii="宋体" w:hAnsi="宋体" w:eastAsia="宋体" w:cs="宋体"/>
          <w:sz w:val="24"/>
          <w:szCs w:val="24"/>
          <w:highlight w:val="none"/>
          <w:lang w:val="en-US" w:eastAsia="zh-CN"/>
        </w:rPr>
        <w:t>8</w:t>
      </w:r>
      <w:r>
        <w:rPr>
          <w:rFonts w:hint="eastAsia" w:ascii="宋体" w:hAnsi="宋体" w:eastAsia="宋体" w:cs="宋体"/>
          <w:sz w:val="24"/>
          <w:szCs w:val="24"/>
          <w:highlight w:val="none"/>
        </w:rPr>
        <w:t>：00（北京时间）</w:t>
      </w:r>
      <w:r>
        <w:rPr>
          <w:rFonts w:hint="eastAsia" w:ascii="宋体" w:hAnsi="宋体" w:eastAsia="宋体" w:cs="宋体"/>
          <w:sz w:val="24"/>
          <w:szCs w:val="24"/>
          <w:highlight w:val="none"/>
          <w:lang w:val="en-US" w:eastAsia="zh-CN"/>
        </w:rPr>
        <w:t>前送</w:t>
      </w:r>
      <w:r>
        <w:rPr>
          <w:rFonts w:hint="eastAsia" w:ascii="宋体" w:hAnsi="宋体" w:eastAsia="宋体" w:cs="宋体"/>
          <w:sz w:val="24"/>
          <w:szCs w:val="24"/>
          <w:lang w:val="en-US" w:eastAsia="zh-CN"/>
        </w:rPr>
        <w:t>达</w:t>
      </w:r>
      <w:r>
        <w:rPr>
          <w:rFonts w:hint="eastAsia" w:ascii="宋体" w:hAnsi="宋体" w:eastAsia="宋体" w:cs="宋体"/>
          <w:sz w:val="24"/>
          <w:szCs w:val="24"/>
        </w:rPr>
        <w:t>福州市鼓楼区中闽大厦B座9层</w:t>
      </w:r>
      <w:r>
        <w:rPr>
          <w:rFonts w:hint="eastAsia" w:ascii="宋体" w:hAnsi="宋体" w:eastAsia="宋体" w:cs="宋体"/>
          <w:sz w:val="24"/>
          <w:szCs w:val="24"/>
          <w:lang w:eastAsia="zh-CN"/>
        </w:rPr>
        <w:t>，</w:t>
      </w:r>
      <w:r>
        <w:rPr>
          <w:rFonts w:hint="eastAsia" w:ascii="宋体" w:hAnsi="宋体" w:eastAsia="宋体" w:cs="宋体"/>
          <w:sz w:val="24"/>
          <w:szCs w:val="24"/>
        </w:rPr>
        <w:t>福建省电子口岸运营服务有限公司。逾期送达的或不符合规定的响应文件将被拒绝接收。</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8</w:t>
      </w:r>
      <w:r>
        <w:rPr>
          <w:rFonts w:hint="eastAsia" w:ascii="宋体" w:hAnsi="宋体" w:eastAsia="宋体" w:cs="宋体"/>
          <w:b/>
          <w:sz w:val="24"/>
          <w:szCs w:val="24"/>
        </w:rPr>
        <w:t>.谈判时间及地点：</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highlight w:val="none"/>
        </w:rPr>
        <w:t>2024年4月</w:t>
      </w:r>
      <w:r>
        <w:rPr>
          <w:rFonts w:hint="eastAsia" w:ascii="宋体" w:hAnsi="宋体" w:eastAsia="宋体" w:cs="宋体"/>
          <w:sz w:val="24"/>
          <w:szCs w:val="24"/>
          <w:highlight w:val="none"/>
          <w:lang w:val="en-US" w:eastAsia="zh-CN"/>
        </w:rPr>
        <w:t>18</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上</w:t>
      </w:r>
      <w:r>
        <w:rPr>
          <w:rFonts w:hint="eastAsia" w:ascii="宋体" w:hAnsi="宋体" w:eastAsia="宋体" w:cs="宋体"/>
          <w:sz w:val="24"/>
          <w:szCs w:val="24"/>
          <w:highlight w:val="none"/>
        </w:rPr>
        <w:t>午1</w:t>
      </w:r>
      <w:r>
        <w:rPr>
          <w:rFonts w:hint="eastAsia" w:ascii="宋体" w:hAnsi="宋体" w:eastAsia="宋体" w:cs="宋体"/>
          <w:sz w:val="24"/>
          <w:szCs w:val="24"/>
          <w:highlight w:val="none"/>
          <w:lang w:val="en-US" w:eastAsia="zh-CN"/>
        </w:rPr>
        <w:t>0</w:t>
      </w:r>
      <w:r>
        <w:rPr>
          <w:rFonts w:hint="eastAsia" w:ascii="宋体" w:hAnsi="宋体" w:eastAsia="宋体" w:cs="宋体"/>
          <w:sz w:val="24"/>
          <w:szCs w:val="24"/>
          <w:highlight w:val="none"/>
        </w:rPr>
        <w:t>：00（北京时间）</w:t>
      </w:r>
      <w:r>
        <w:rPr>
          <w:rFonts w:hint="eastAsia" w:ascii="宋体" w:hAnsi="宋体" w:eastAsia="宋体" w:cs="宋体"/>
          <w:sz w:val="24"/>
          <w:szCs w:val="24"/>
          <w:highlight w:val="none"/>
          <w:lang w:val="en-US" w:eastAsia="zh-CN"/>
        </w:rPr>
        <w:t>于</w:t>
      </w:r>
      <w:r>
        <w:rPr>
          <w:rFonts w:hint="eastAsia" w:ascii="宋体" w:hAnsi="宋体" w:eastAsia="宋体" w:cs="宋体"/>
          <w:sz w:val="24"/>
          <w:szCs w:val="24"/>
          <w:highlight w:val="none"/>
        </w:rPr>
        <w:t>福州市</w:t>
      </w:r>
      <w:r>
        <w:rPr>
          <w:rFonts w:hint="eastAsia" w:ascii="宋体" w:hAnsi="宋体" w:eastAsia="宋体" w:cs="宋体"/>
          <w:sz w:val="24"/>
          <w:szCs w:val="24"/>
        </w:rPr>
        <w:t>鼓楼区中闽大厦B座9层福建省电子口岸运营服务有限公司</w:t>
      </w:r>
      <w:r>
        <w:rPr>
          <w:rFonts w:hint="eastAsia" w:ascii="宋体" w:hAnsi="宋体" w:eastAsia="宋体" w:cs="宋体"/>
          <w:sz w:val="24"/>
          <w:szCs w:val="24"/>
          <w:lang w:val="en-US" w:eastAsia="zh-CN"/>
        </w:rPr>
        <w:t>进行谈判</w:t>
      </w:r>
      <w:r>
        <w:rPr>
          <w:rFonts w:hint="eastAsia" w:ascii="宋体" w:hAnsi="宋体" w:eastAsia="宋体" w:cs="宋体"/>
          <w:sz w:val="24"/>
          <w:szCs w:val="24"/>
        </w:rPr>
        <w:t>。</w:t>
      </w:r>
    </w:p>
    <w:p>
      <w:pPr>
        <w:pStyle w:val="9"/>
        <w:spacing w:line="360" w:lineRule="auto"/>
        <w:ind w:firstLine="480"/>
        <w:jc w:val="left"/>
        <w:outlineLvl w:val="2"/>
        <w:rPr>
          <w:rFonts w:hint="eastAsia" w:ascii="宋体" w:hAnsi="宋体" w:eastAsia="宋体" w:cs="宋体"/>
          <w:sz w:val="24"/>
          <w:szCs w:val="24"/>
        </w:rPr>
      </w:pPr>
      <w:r>
        <w:rPr>
          <w:rFonts w:hint="eastAsia" w:ascii="宋体" w:hAnsi="宋体" w:eastAsia="宋体" w:cs="宋体"/>
          <w:b/>
          <w:sz w:val="24"/>
          <w:szCs w:val="24"/>
          <w:lang w:val="en-US" w:eastAsia="zh-CN"/>
        </w:rPr>
        <w:t>9</w:t>
      </w:r>
      <w:r>
        <w:rPr>
          <w:rFonts w:hint="eastAsia" w:ascii="宋体" w:hAnsi="宋体" w:eastAsia="宋体" w:cs="宋体"/>
          <w:b/>
          <w:sz w:val="24"/>
          <w:szCs w:val="24"/>
        </w:rPr>
        <w:t>.竞争性谈判公告期限：</w:t>
      </w:r>
      <w:bookmarkStart w:id="6" w:name="_GoBack"/>
      <w:bookmarkEnd w:id="6"/>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lang w:val="en-US" w:eastAsia="zh-CN"/>
        </w:rPr>
        <w:t>福建省电子口岸运营服务有限公司竞争性谈判公告</w:t>
      </w:r>
      <w:r>
        <w:rPr>
          <w:rFonts w:hint="eastAsia" w:ascii="宋体" w:hAnsi="宋体" w:eastAsia="宋体" w:cs="宋体"/>
          <w:sz w:val="24"/>
          <w:szCs w:val="24"/>
        </w:rPr>
        <w:t>发布之日起3个工作日。</w:t>
      </w:r>
    </w:p>
    <w:p>
      <w:pPr>
        <w:pStyle w:val="9"/>
        <w:spacing w:line="360" w:lineRule="auto"/>
        <w:ind w:firstLine="480"/>
        <w:jc w:val="left"/>
        <w:outlineLvl w:val="2"/>
        <w:rPr>
          <w:rFonts w:hint="eastAsia" w:ascii="宋体" w:hAnsi="宋体" w:eastAsia="宋体" w:cs="宋体"/>
          <w:sz w:val="24"/>
          <w:szCs w:val="24"/>
          <w:lang w:eastAsia="zh-CN"/>
        </w:rPr>
      </w:pPr>
      <w:r>
        <w:rPr>
          <w:rFonts w:hint="eastAsia" w:ascii="宋体" w:hAnsi="宋体" w:eastAsia="宋体" w:cs="宋体"/>
          <w:b/>
          <w:sz w:val="24"/>
          <w:szCs w:val="24"/>
        </w:rPr>
        <w:t>1</w:t>
      </w:r>
      <w:r>
        <w:rPr>
          <w:rFonts w:hint="eastAsia" w:ascii="宋体" w:hAnsi="宋体" w:eastAsia="宋体" w:cs="宋体"/>
          <w:b/>
          <w:sz w:val="24"/>
          <w:szCs w:val="24"/>
          <w:lang w:val="en-US" w:eastAsia="zh-CN"/>
        </w:rPr>
        <w:t>0</w:t>
      </w:r>
      <w:r>
        <w:rPr>
          <w:rFonts w:hint="eastAsia" w:ascii="宋体" w:hAnsi="宋体" w:eastAsia="宋体" w:cs="宋体"/>
          <w:b/>
          <w:sz w:val="24"/>
          <w:szCs w:val="24"/>
        </w:rPr>
        <w:t>.采购人：</w:t>
      </w:r>
      <w:r>
        <w:rPr>
          <w:rFonts w:hint="eastAsia" w:ascii="宋体" w:hAnsi="宋体" w:eastAsia="宋体" w:cs="宋体"/>
          <w:b/>
          <w:sz w:val="24"/>
          <w:szCs w:val="24"/>
          <w:lang w:val="en-US" w:eastAsia="zh-CN"/>
        </w:rPr>
        <w:t>福建省电子口岸运营服务有限公司</w:t>
      </w:r>
    </w:p>
    <w:p>
      <w:pPr>
        <w:pStyle w:val="9"/>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lang w:eastAsia="zh-CN"/>
        </w:rPr>
        <w:t>：</w:t>
      </w:r>
      <w:r>
        <w:rPr>
          <w:rFonts w:hint="eastAsia" w:ascii="宋体" w:hAnsi="宋体" w:eastAsia="宋体" w:cs="宋体"/>
          <w:sz w:val="24"/>
          <w:szCs w:val="24"/>
        </w:rPr>
        <w:t>福州市鼓楼区中闽大厦B座9层</w:t>
      </w:r>
    </w:p>
    <w:p>
      <w:pPr>
        <w:pStyle w:val="9"/>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rPr>
        <w:t>邮编： 35000</w:t>
      </w:r>
      <w:r>
        <w:rPr>
          <w:rFonts w:hint="eastAsia" w:ascii="宋体" w:hAnsi="宋体" w:eastAsia="宋体" w:cs="宋体"/>
          <w:sz w:val="24"/>
          <w:szCs w:val="24"/>
          <w:lang w:val="en-US" w:eastAsia="zh-CN"/>
        </w:rPr>
        <w:t>1</w:t>
      </w:r>
    </w:p>
    <w:p>
      <w:pPr>
        <w:pStyle w:val="9"/>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联系人：</w:t>
      </w:r>
      <w:r>
        <w:rPr>
          <w:rFonts w:hint="eastAsia" w:ascii="宋体" w:hAnsi="宋体" w:eastAsia="宋体" w:cs="宋体"/>
          <w:sz w:val="24"/>
          <w:szCs w:val="24"/>
          <w:lang w:val="en-US" w:eastAsia="zh-CN"/>
        </w:rPr>
        <w:t>姜小姐</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联系电话：0591-28080225 </w:t>
      </w:r>
    </w:p>
    <w:p>
      <w:pPr>
        <w:pStyle w:val="9"/>
        <w:spacing w:line="360" w:lineRule="auto"/>
        <w:rPr>
          <w:rFonts w:hint="eastAsia" w:ascii="宋体" w:hAnsi="宋体" w:eastAsia="宋体" w:cs="宋体"/>
          <w:sz w:val="24"/>
          <w:szCs w:val="24"/>
        </w:rPr>
      </w:pPr>
      <w:r>
        <w:rPr>
          <w:rFonts w:hint="eastAsia" w:ascii="宋体" w:hAnsi="宋体" w:eastAsia="宋体" w:cs="宋体"/>
          <w:sz w:val="24"/>
          <w:szCs w:val="24"/>
        </w:rPr>
        <w:br w:type="page"/>
      </w:r>
    </w:p>
    <w:p>
      <w:pPr>
        <w:pStyle w:val="9"/>
        <w:spacing w:line="360" w:lineRule="auto"/>
        <w:jc w:val="center"/>
        <w:outlineLvl w:val="0"/>
        <w:rPr>
          <w:rFonts w:hint="eastAsia" w:ascii="宋体" w:hAnsi="宋体" w:eastAsia="宋体" w:cs="宋体"/>
          <w:sz w:val="24"/>
          <w:szCs w:val="24"/>
        </w:rPr>
      </w:pPr>
      <w:bookmarkStart w:id="4" w:name="_Toc13266"/>
      <w:r>
        <w:rPr>
          <w:rFonts w:hint="eastAsia" w:ascii="宋体" w:hAnsi="宋体" w:eastAsia="宋体" w:cs="宋体"/>
          <w:b/>
          <w:sz w:val="24"/>
          <w:szCs w:val="24"/>
        </w:rPr>
        <w:t>第二章 竞争性谈判须知</w:t>
      </w:r>
      <w:bookmarkEnd w:id="4"/>
    </w:p>
    <w:p>
      <w:pPr>
        <w:pStyle w:val="9"/>
        <w:spacing w:line="360" w:lineRule="auto"/>
        <w:jc w:val="center"/>
        <w:rPr>
          <w:rFonts w:hint="eastAsia" w:ascii="宋体" w:hAnsi="宋体" w:eastAsia="宋体" w:cs="宋体"/>
          <w:sz w:val="24"/>
          <w:szCs w:val="24"/>
        </w:rPr>
      </w:pPr>
      <w:r>
        <w:rPr>
          <w:rFonts w:hint="eastAsia" w:ascii="宋体" w:hAnsi="宋体" w:eastAsia="宋体" w:cs="宋体"/>
          <w:b/>
          <w:sz w:val="24"/>
          <w:szCs w:val="24"/>
        </w:rPr>
        <w:t>一、竞争性谈判须知前附表</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竞争性谈判须知前附表是对竞争性谈判须知的补充和细化，二者如有矛盾，以前附表中的要求和规定为准</w:t>
      </w:r>
    </w:p>
    <w:tbl>
      <w:tblPr>
        <w:tblStyle w:val="6"/>
        <w:tblW w:w="905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2"/>
        <w:gridCol w:w="81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 w:hRule="atLeast"/>
        </w:trPr>
        <w:tc>
          <w:tcPr>
            <w:tcW w:w="93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项号</w:t>
            </w:r>
          </w:p>
        </w:tc>
        <w:tc>
          <w:tcPr>
            <w:tcW w:w="8127"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28" w:hRule="atLeast"/>
        </w:trPr>
        <w:tc>
          <w:tcPr>
            <w:tcW w:w="93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1</w:t>
            </w:r>
          </w:p>
        </w:tc>
        <w:tc>
          <w:tcPr>
            <w:tcW w:w="8127"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供应商的资格要求：见谈判文件第一章“竞争性谈判采购公告/采购邀请书”</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资格证明文件资料要求：</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10"/>
              <w:gridCol w:w="1592"/>
              <w:gridCol w:w="55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5" w:hRule="atLeast"/>
              </w:trPr>
              <w:tc>
                <w:tcPr>
                  <w:tcW w:w="710"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序号</w:t>
                  </w:r>
                </w:p>
              </w:tc>
              <w:tc>
                <w:tcPr>
                  <w:tcW w:w="159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资格审查要求概况</w:t>
                  </w:r>
                </w:p>
              </w:tc>
              <w:tc>
                <w:tcPr>
                  <w:tcW w:w="5576"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906" w:hRule="atLeast"/>
              </w:trPr>
              <w:tc>
                <w:tcPr>
                  <w:tcW w:w="710" w:type="dxa"/>
                </w:tcPr>
                <w:p>
                  <w:pPr>
                    <w:pStyle w:val="9"/>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59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法定代表人</w:t>
                  </w:r>
                  <w:r>
                    <w:rPr>
                      <w:rFonts w:hint="eastAsia" w:ascii="宋体" w:hAnsi="宋体" w:eastAsia="宋体" w:cs="宋体"/>
                      <w:sz w:val="24"/>
                      <w:szCs w:val="24"/>
                    </w:rPr>
                    <w:t>授权书</w:t>
                  </w:r>
                </w:p>
              </w:tc>
              <w:tc>
                <w:tcPr>
                  <w:tcW w:w="5576"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857" w:hRule="atLeast"/>
              </w:trPr>
              <w:tc>
                <w:tcPr>
                  <w:tcW w:w="710" w:type="dxa"/>
                </w:tcPr>
                <w:p>
                  <w:pPr>
                    <w:pStyle w:val="9"/>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59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营业执照等证明文件</w:t>
                  </w:r>
                </w:p>
              </w:tc>
              <w:tc>
                <w:tcPr>
                  <w:tcW w:w="5576"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31" w:hRule="atLeast"/>
              </w:trPr>
              <w:tc>
                <w:tcPr>
                  <w:tcW w:w="710" w:type="dxa"/>
                </w:tcPr>
                <w:p>
                  <w:pPr>
                    <w:pStyle w:val="9"/>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59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具备资格证明材料承诺函（详见附件4）</w:t>
                  </w:r>
                </w:p>
              </w:tc>
              <w:tc>
                <w:tcPr>
                  <w:tcW w:w="5576" w:type="dxa"/>
                </w:tcPr>
                <w:p>
                  <w:pPr>
                    <w:pStyle w:val="9"/>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供应商需提供关于具备</w:t>
                  </w:r>
                  <w:r>
                    <w:rPr>
                      <w:rFonts w:hint="eastAsia" w:ascii="宋体" w:hAnsi="宋体" w:eastAsia="宋体" w:cs="宋体"/>
                      <w:sz w:val="24"/>
                      <w:szCs w:val="24"/>
                    </w:rPr>
                    <w:t>①</w:t>
                  </w:r>
                  <w:r>
                    <w:rPr>
                      <w:rFonts w:hint="eastAsia" w:ascii="宋体" w:hAnsi="宋体" w:eastAsia="宋体" w:cs="宋体"/>
                      <w:sz w:val="24"/>
                      <w:szCs w:val="24"/>
                      <w:lang w:val="en-US" w:eastAsia="zh-CN"/>
                    </w:rPr>
                    <w:t>良好的商业信誉和健全的财务会计制度资格；</w:t>
                  </w:r>
                  <w:r>
                    <w:rPr>
                      <w:rFonts w:hint="eastAsia" w:ascii="宋体" w:hAnsi="宋体" w:eastAsia="宋体" w:cs="宋体"/>
                      <w:sz w:val="24"/>
                      <w:szCs w:val="24"/>
                    </w:rPr>
                    <w:t>②依法缴纳税收和社会保障资金</w:t>
                  </w:r>
                  <w:r>
                    <w:rPr>
                      <w:rFonts w:hint="eastAsia" w:ascii="宋体" w:hAnsi="宋体" w:eastAsia="宋体" w:cs="宋体"/>
                      <w:sz w:val="24"/>
                      <w:szCs w:val="24"/>
                      <w:lang w:eastAsia="zh-CN"/>
                    </w:rPr>
                    <w:t>；</w:t>
                  </w:r>
                  <w:r>
                    <w:rPr>
                      <w:rFonts w:hint="eastAsia" w:ascii="宋体" w:hAnsi="宋体" w:eastAsia="宋体" w:cs="宋体"/>
                      <w:sz w:val="24"/>
                      <w:szCs w:val="24"/>
                    </w:rPr>
                    <w:t>③在参加政府采购活动前三年内，在经营活动中没有重大违法记录</w:t>
                  </w:r>
                  <w:r>
                    <w:rPr>
                      <w:rFonts w:hint="eastAsia" w:ascii="宋体" w:hAnsi="宋体" w:eastAsia="宋体" w:cs="宋体"/>
                      <w:sz w:val="24"/>
                      <w:szCs w:val="24"/>
                      <w:lang w:val="en-US" w:eastAsia="zh-CN"/>
                    </w:rPr>
                    <w:t>的资格证明材料承诺函。（</w:t>
                  </w:r>
                  <w:r>
                    <w:rPr>
                      <w:rFonts w:hint="eastAsia" w:ascii="宋体" w:hAnsi="宋体" w:eastAsia="宋体" w:cs="宋体"/>
                      <w:sz w:val="24"/>
                      <w:szCs w:val="24"/>
                    </w:rPr>
                    <w:t>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r>
                    <w:rPr>
                      <w:rFonts w:hint="eastAsia" w:ascii="宋体" w:hAnsi="宋体" w:eastAsia="宋体" w:cs="宋体"/>
                      <w:sz w:val="24"/>
                      <w:szCs w:val="24"/>
                      <w:lang w:val="en-US"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55" w:hRule="atLeast"/>
              </w:trPr>
              <w:tc>
                <w:tcPr>
                  <w:tcW w:w="710" w:type="dxa"/>
                </w:tcPr>
                <w:p>
                  <w:pPr>
                    <w:pStyle w:val="9"/>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59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信用记录查询结果</w:t>
                  </w:r>
                </w:p>
              </w:tc>
              <w:tc>
                <w:tcPr>
                  <w:tcW w:w="5576"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响应截止时间)前三年内被列入失信被执行人名单、重大税收违法案件当事人名单、政府采购严重违法失信行为记录名单及其他重大违法记录且相关信用惩戒期限未满的，其资格审查不合格。</w:t>
                  </w:r>
                </w:p>
              </w:tc>
            </w:tr>
          </w:tbl>
          <w:p>
            <w:pPr>
              <w:pStyle w:val="9"/>
              <w:spacing w:line="360" w:lineRule="auto"/>
              <w:jc w:val="left"/>
              <w:rPr>
                <w:rFonts w:hint="eastAsia" w:ascii="宋体" w:hAnsi="宋体" w:eastAsia="宋体" w:cs="宋体"/>
                <w:sz w:val="24"/>
                <w:szCs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6" w:hRule="atLeast"/>
        </w:trPr>
        <w:tc>
          <w:tcPr>
            <w:tcW w:w="93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2</w:t>
            </w:r>
          </w:p>
        </w:tc>
        <w:tc>
          <w:tcPr>
            <w:tcW w:w="8127" w:type="dxa"/>
          </w:tcPr>
          <w:p>
            <w:pPr>
              <w:pStyle w:val="9"/>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rPr>
              <w:t>是否接受联合体形式的响应谈判：</w:t>
            </w:r>
            <w:r>
              <w:rPr>
                <w:rFonts w:hint="eastAsia" w:ascii="宋体" w:hAnsi="宋体" w:eastAsia="宋体" w:cs="宋体"/>
                <w:sz w:val="24"/>
                <w:szCs w:val="24"/>
                <w:lang w:val="en-US" w:eastAsia="zh-CN"/>
              </w:rPr>
              <w:t>本项目不接受</w:t>
            </w:r>
            <w:r>
              <w:rPr>
                <w:rFonts w:hint="eastAsia" w:ascii="宋体" w:hAnsi="宋体" w:eastAsia="宋体" w:cs="宋体"/>
                <w:sz w:val="24"/>
                <w:szCs w:val="24"/>
              </w:rPr>
              <w:t>联合体形式的响应谈判</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66" w:hRule="atLeast"/>
        </w:trPr>
        <w:tc>
          <w:tcPr>
            <w:tcW w:w="932" w:type="dxa"/>
          </w:tcPr>
          <w:p>
            <w:pPr>
              <w:pStyle w:val="9"/>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8127" w:type="dxa"/>
          </w:tcPr>
          <w:p>
            <w:pPr>
              <w:pStyle w:val="9"/>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供应商需填写</w:t>
            </w:r>
            <w:r>
              <w:rPr>
                <w:rFonts w:hint="eastAsia" w:ascii="宋体" w:hAnsi="宋体" w:eastAsia="宋体" w:cs="宋体"/>
                <w:sz w:val="24"/>
                <w:szCs w:val="24"/>
              </w:rPr>
              <w:t>附件</w:t>
            </w:r>
            <w:r>
              <w:rPr>
                <w:rFonts w:hint="eastAsia" w:ascii="宋体" w:hAnsi="宋体" w:eastAsia="宋体" w:cs="宋体"/>
                <w:sz w:val="24"/>
                <w:szCs w:val="24"/>
                <w:lang w:val="en-US" w:eastAsia="zh-CN"/>
              </w:rPr>
              <w:t>1</w:t>
            </w:r>
            <w:r>
              <w:rPr>
                <w:rFonts w:hint="eastAsia" w:ascii="宋体" w:hAnsi="宋体" w:eastAsia="宋体" w:cs="宋体"/>
                <w:sz w:val="24"/>
                <w:szCs w:val="24"/>
              </w:rPr>
              <w:t>：报价单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并加盖公章报价</w:t>
            </w:r>
          </w:p>
          <w:p>
            <w:pPr>
              <w:pStyle w:val="9"/>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供应商需提供含税报价和不含税报价，以不含税价报价作为评标价，以含税报价作为中标价签订合同。</w:t>
            </w:r>
            <w:r>
              <w:rPr>
                <w:rFonts w:hint="eastAsia" w:ascii="宋体" w:hAnsi="宋体" w:eastAsia="宋体" w:cs="宋体"/>
                <w:sz w:val="24"/>
                <w:szCs w:val="24"/>
                <w:lang w:eastAsia="zh-CN"/>
              </w:rPr>
              <w:t>）</w:t>
            </w:r>
          </w:p>
          <w:p>
            <w:pPr>
              <w:pStyle w:val="9"/>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附件2：法定代表人授权书（若有）</w:t>
            </w:r>
          </w:p>
          <w:p>
            <w:pPr>
              <w:pStyle w:val="9"/>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附件3：技术、商务、服务响应承诺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29" w:hRule="atLeast"/>
        </w:trPr>
        <w:tc>
          <w:tcPr>
            <w:tcW w:w="932" w:type="dxa"/>
          </w:tcPr>
          <w:p>
            <w:pPr>
              <w:pStyle w:val="9"/>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8127"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响应文件的份数</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（1）纸质响应文件</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①响应文件正本 1 份。</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②可读介质（光盘或U盘） 1 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129" w:hRule="atLeast"/>
        </w:trPr>
        <w:tc>
          <w:tcPr>
            <w:tcW w:w="932" w:type="dxa"/>
          </w:tcPr>
          <w:p>
            <w:pPr>
              <w:pStyle w:val="9"/>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8127"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谈判过程中可能发生实质性变动的内容：</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在谈判过程中，谈判小组可以根据谈判文件和谈判情况实质性变动采购需求中的技术、服务要求以及合同草案条款，但不得变动谈判文件中的其他内容。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850" w:hRule="atLeast"/>
        </w:trPr>
        <w:tc>
          <w:tcPr>
            <w:tcW w:w="932" w:type="dxa"/>
          </w:tcPr>
          <w:p>
            <w:pPr>
              <w:pStyle w:val="9"/>
              <w:spacing w:line="360" w:lineRule="auto"/>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8127"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信息公告</w:t>
            </w:r>
            <w:r>
              <w:rPr>
                <w:rFonts w:hint="eastAsia" w:ascii="宋体" w:hAnsi="宋体" w:eastAsia="宋体" w:cs="宋体"/>
                <w:sz w:val="24"/>
                <w:szCs w:val="24"/>
                <w:lang w:val="en-US" w:eastAsia="zh-CN"/>
              </w:rPr>
              <w:t>于福建省电子口岸运营服务有限公司官网发布：http://fjdport.com/</w:t>
            </w:r>
          </w:p>
        </w:tc>
      </w:tr>
    </w:tbl>
    <w:p>
      <w:pPr>
        <w:bidi w:val="0"/>
        <w:spacing w:line="360" w:lineRule="auto"/>
        <w:rPr>
          <w:rFonts w:hint="eastAsia"/>
        </w:rPr>
      </w:pPr>
    </w:p>
    <w:p>
      <w:pPr>
        <w:pStyle w:val="9"/>
        <w:spacing w:line="360" w:lineRule="auto"/>
        <w:jc w:val="center"/>
        <w:outlineLvl w:val="2"/>
        <w:rPr>
          <w:rFonts w:hint="eastAsia" w:ascii="宋体" w:hAnsi="宋体" w:eastAsia="宋体" w:cs="宋体"/>
          <w:sz w:val="24"/>
          <w:szCs w:val="24"/>
        </w:rPr>
      </w:pPr>
      <w:r>
        <w:rPr>
          <w:rFonts w:hint="eastAsia" w:ascii="宋体" w:hAnsi="宋体" w:eastAsia="宋体" w:cs="宋体"/>
          <w:b/>
          <w:sz w:val="24"/>
          <w:szCs w:val="24"/>
        </w:rPr>
        <w:t>专项附件： 评定成交的标准和方法</w:t>
      </w:r>
    </w:p>
    <w:p>
      <w:pPr>
        <w:pStyle w:val="9"/>
        <w:spacing w:line="360" w:lineRule="auto"/>
        <w:jc w:val="left"/>
        <w:outlineLvl w:val="2"/>
        <w:rPr>
          <w:rFonts w:hint="eastAsia" w:ascii="宋体" w:hAnsi="宋体" w:eastAsia="宋体" w:cs="宋体"/>
          <w:sz w:val="24"/>
          <w:szCs w:val="24"/>
        </w:rPr>
      </w:pPr>
      <w:r>
        <w:rPr>
          <w:rFonts w:hint="eastAsia" w:ascii="宋体" w:hAnsi="宋体" w:eastAsia="宋体" w:cs="宋体"/>
          <w:b/>
          <w:sz w:val="24"/>
          <w:szCs w:val="24"/>
        </w:rPr>
        <w:t>一、谈判小组</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1.1采购人根据项目的特点组建谈判小组。</w:t>
      </w:r>
    </w:p>
    <w:p>
      <w:pPr>
        <w:pStyle w:val="9"/>
        <w:spacing w:line="360" w:lineRule="auto"/>
        <w:jc w:val="left"/>
        <w:outlineLvl w:val="2"/>
        <w:rPr>
          <w:rFonts w:hint="eastAsia" w:ascii="宋体" w:hAnsi="宋体" w:eastAsia="宋体" w:cs="宋体"/>
          <w:sz w:val="24"/>
          <w:szCs w:val="24"/>
        </w:rPr>
      </w:pPr>
      <w:r>
        <w:rPr>
          <w:rFonts w:hint="eastAsia" w:ascii="宋体" w:hAnsi="宋体" w:eastAsia="宋体" w:cs="宋体"/>
          <w:b/>
          <w:sz w:val="24"/>
          <w:szCs w:val="24"/>
        </w:rPr>
        <w:t>二、谈判程序</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2.1谈判程序按照谈判文件第二章第2节“竞争性谈判须知”第14条“谈判程序以及评定成交的标准”的相关条款规定执行。</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lang w:val="en-US" w:eastAsia="zh-CN"/>
        </w:rPr>
        <w:t>本项目</w:t>
      </w:r>
      <w:r>
        <w:rPr>
          <w:rFonts w:hint="eastAsia" w:ascii="宋体" w:hAnsi="宋体" w:eastAsia="宋体" w:cs="宋体"/>
          <w:sz w:val="24"/>
          <w:szCs w:val="24"/>
        </w:rPr>
        <w:t>属于《政府采购非招标采购方式管理办法》等相关法律法规及财政部门颁布的规范性文件允许的</w:t>
      </w:r>
      <w:r>
        <w:rPr>
          <w:rFonts w:hint="eastAsia" w:ascii="宋体" w:hAnsi="宋体" w:eastAsia="宋体" w:cs="宋体"/>
          <w:sz w:val="24"/>
          <w:szCs w:val="24"/>
          <w:lang w:val="en-US" w:eastAsia="zh-CN"/>
        </w:rPr>
        <w:t>2</w:t>
      </w:r>
      <w:r>
        <w:rPr>
          <w:rFonts w:hint="eastAsia" w:ascii="宋体" w:hAnsi="宋体" w:eastAsia="宋体" w:cs="宋体"/>
          <w:sz w:val="24"/>
          <w:szCs w:val="24"/>
        </w:rPr>
        <w:t>家供应商进行竞争性谈判采购情形，则提交最后报价的供应商可以为2家。</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A、串通报价的情形 谈判小组在评审过程中发现供应商存在下列情形之一的，可认定其有串通报价行为，并做出其响应无效的决定： (1) 不同供应商的响应文件错、漏之处一致或雷同，且不能合理解释的； (2) 不同的供应商的法定代表人、委托代理人等由同一个单位缴纳社会保险的； (3) 由同一人或分别由几个有利害关系人携带两个以上(含两个)供应商的企业资料参与资格审查、领取竞争性谈判资料，或代表两个以上(含两个) 供应商参加竞争性谈判答疑会、交纳或退还谈判保证金、谈判的； (4) 不同供应商的响应文件由同一单位或者个人编制。 (5) 不同供应商委托同一单位或者个人办理谈判事宜。 (6) 不同供应商的响应文件载明的项目管理成员或者联系人员为同一人。 (7) 不同供应商的响应文件异常一致或者谈判报价呈规律性差异。 (8) 不同供应商的响应文件相互混装。 (9) 不同供应商的谈判保证金从同一单位或者个人的账户转出。 (10) 有关法律、法规或规章规定的其他串通谈判行为。 B、重大偏差情形，详见谈判文件第1节评定成交的标准和方法5.1.4A和第2节竞争性谈判须知13.2.1中情形之一的。 C、细微偏差情形 (1)细微偏差是指响应文件在实质上响应谈判文件要求，但在个别地方存在漏项或者提供了不完整的技术信息和数据等情况，并且补正或改正这些遗漏或者不完整不会对其他供应商造成不公平的结果。细微偏差不影响响应文件的有效性。 (2)谈判小组应当书面要求存在细微偏差的供应商在评审结束前予以补正。补正的程序和方法按谈判文件第2节竞争性谈判须知第14.3规定执行。无法补正的，可以在评审时对细微偏差作不利于该供应商的认定。不利的认定标准如下：未按照谈判小组在评审结束前要求予以补正的全部细微偏差内容。 D、采购人不得向谈判小组的评审专家作倾向性、误导性的解释或者说明。 E、采购文件内容违反国家有关强制性规定的，谈判小组应当停止评审并向采购人说明情况。 F、同一品牌产品认定 ①提供相同品牌产品的不同供应商参加同一合同项下报价的，以其中通过资格审查、符合性审查且报价最低的参加评审；报价相同的，采取随机抽取方式确定，其他响应无效。 ②非单一产品采购项目中，多家供应商提供的核心产品品牌相同的，视为提供相同品牌产品。 ③谈判小组按照本款第①条规定确定有效供应商后，按照本章第3.1.3条规定处理。 G、响应文件报价出现前后不一致的，按照下列规定修正： (1)响应文件中报价一览表内容与响应文件中相应内容不一致的，以报价一览表为准； (2)大写金额和小写金额不一致的，以大写金额为准； (3)单价金额小数点或者百分比有明显错位的，以报价一览表的总价为准，并修改单价； (4)总价金额与按单价汇总金额不一致的，以单价金额计算结果为准。 同时出现两种以上不一致的，按照前款规定的顺序修正。修正后的报价按照本须知前附表第14.3条的规定经供应商确认后产生约束力，供应商不确认的，其响应无效。</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（谈判文件不能详细列明采购标的的技术、服务要求，需经谈判由供应商提供最终设计方案或解决方案的项目）</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2.3只有资格审查和实质性响应审查均合格且按规定提交最后报价的合格供应商才能参加评定成交的最后价格排序和成交候选人推荐。</w:t>
      </w:r>
    </w:p>
    <w:p>
      <w:pPr>
        <w:pStyle w:val="9"/>
        <w:spacing w:line="360" w:lineRule="auto"/>
        <w:jc w:val="center"/>
        <w:outlineLvl w:val="2"/>
        <w:rPr>
          <w:rFonts w:hint="eastAsia" w:ascii="宋体" w:hAnsi="宋体" w:eastAsia="宋体" w:cs="宋体"/>
          <w:sz w:val="24"/>
          <w:szCs w:val="24"/>
        </w:rPr>
      </w:pPr>
      <w:r>
        <w:rPr>
          <w:rFonts w:hint="eastAsia" w:ascii="宋体" w:hAnsi="宋体" w:eastAsia="宋体" w:cs="宋体"/>
          <w:b/>
          <w:sz w:val="24"/>
          <w:szCs w:val="24"/>
        </w:rPr>
        <w:t>三、最低评审价法和成交候选人推荐</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3.1谈判小组将采用最低评审价法对提交最后报价的合格供应商的响应文件和最后报价进行评审，并推荐成交候选人。具体评审的标准和方法如下：</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采购包1：最低评标价法</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响应文件满足谈判文件全部实质性要求，且响应报价最低的供应商为成交候选供应商。</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w:t>
      </w:r>
      <w:r>
        <w:rPr>
          <w:rFonts w:hint="eastAsia"/>
          <w:sz w:val="24"/>
          <w:szCs w:val="24"/>
          <w:lang w:val="en-US" w:eastAsia="zh-CN"/>
        </w:rPr>
        <w:t>供应商需提供含税报价和不含税报价，以不含税价报价作为评标价，以含税报价。</w:t>
      </w:r>
    </w:p>
    <w:p>
      <w:pPr>
        <w:pStyle w:val="9"/>
        <w:spacing w:line="360" w:lineRule="auto"/>
        <w:jc w:val="center"/>
        <w:outlineLvl w:val="2"/>
        <w:rPr>
          <w:rFonts w:hint="eastAsia" w:ascii="宋体" w:hAnsi="宋体" w:eastAsia="宋体" w:cs="宋体"/>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rPr>
        <w:t>、竞争性谈判</w:t>
      </w:r>
    </w:p>
    <w:p>
      <w:pPr>
        <w:pStyle w:val="9"/>
        <w:spacing w:line="360" w:lineRule="auto"/>
        <w:jc w:val="both"/>
        <w:rPr>
          <w:rFonts w:hint="eastAsia" w:ascii="宋体" w:hAnsi="宋体" w:eastAsia="宋体" w:cs="宋体"/>
          <w:sz w:val="24"/>
          <w:szCs w:val="24"/>
        </w:rPr>
      </w:pPr>
      <w:r>
        <w:rPr>
          <w:rFonts w:hint="eastAsia" w:ascii="宋体" w:hAnsi="宋体" w:eastAsia="宋体" w:cs="宋体"/>
          <w:b/>
          <w:sz w:val="24"/>
          <w:szCs w:val="24"/>
        </w:rPr>
        <w:t>1.评审和谈判基本准则</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1.1对所有供应商的评审和谈判，都采用相同的程序和标准。</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1.2谈判及评审过程将严格按照谈判文件的要求和条件进行，谈判小组将根据供应商的响应文件，按谈判文件规定的谈判程序和评定成交标准进行评审和谈判，并推荐成交候选人。</w:t>
      </w:r>
    </w:p>
    <w:p>
      <w:pPr>
        <w:pStyle w:val="9"/>
        <w:spacing w:line="360" w:lineRule="auto"/>
        <w:jc w:val="both"/>
        <w:rPr>
          <w:rFonts w:hint="eastAsia" w:ascii="宋体" w:hAnsi="宋体" w:eastAsia="宋体" w:cs="宋体"/>
          <w:sz w:val="24"/>
          <w:szCs w:val="24"/>
        </w:rPr>
      </w:pPr>
      <w:r>
        <w:rPr>
          <w:rFonts w:hint="eastAsia" w:ascii="宋体" w:hAnsi="宋体" w:eastAsia="宋体" w:cs="宋体"/>
          <w:b/>
          <w:sz w:val="24"/>
          <w:szCs w:val="24"/>
          <w:lang w:val="en-US" w:eastAsia="zh-CN"/>
        </w:rPr>
        <w:t>2</w:t>
      </w:r>
      <w:r>
        <w:rPr>
          <w:rFonts w:hint="eastAsia" w:ascii="宋体" w:hAnsi="宋体" w:eastAsia="宋体" w:cs="宋体"/>
          <w:b/>
          <w:sz w:val="24"/>
          <w:szCs w:val="24"/>
        </w:rPr>
        <w:t>.谈判程序以及评定成交标准</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.1采购人将根据项目的特点依法组建谈判小组。谈判小组将根据谈判文件规定的程序、评定成交标准等内容对供应商进行评审、谈判。</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9"/>
        <w:spacing w:line="360" w:lineRule="auto"/>
        <w:ind w:firstLine="720" w:firstLineChars="30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.2.1供应商有下列情况之一者，其提交的响应文件将被视为未实质性响应谈判文件要求，谈判小组将否决其响应文件，按无效处理：</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采购包1：</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2269"/>
        <w:gridCol w:w="499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序号</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符合审查要求概况</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1</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响应文件中提供的资格证明文件不全的；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2</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情形2</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响应文件未按谈判文件规定由供应商代表签字，或未按谈判文件规定加盖供应商单位公章的；或供应商代表未获得有效授权的；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3</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情形3</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响应文件载明的货物包装方式、检验标准和方法等不符合谈判文件要求或未载明货物包装方式、检验标准和方法的；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4</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情形4</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响应文件有效期不满足谈判文件要求的；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5</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情形5</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highlight w:val="none"/>
                <w:lang w:eastAsia="zh-CN"/>
              </w:rPr>
              <w:t xml:space="preserve">供应商的响应文件不满足采购文件“第三章 </w:t>
            </w:r>
            <w:r>
              <w:rPr>
                <w:rFonts w:hint="eastAsia" w:ascii="宋体" w:hAnsi="宋体" w:eastAsia="宋体" w:cs="宋体"/>
                <w:sz w:val="24"/>
                <w:szCs w:val="24"/>
                <w:highlight w:val="none"/>
                <w:lang w:val="en-US" w:eastAsia="zh-CN"/>
              </w:rPr>
              <w:t>采购内容及</w:t>
            </w:r>
            <w:r>
              <w:rPr>
                <w:rFonts w:hint="eastAsia" w:ascii="宋体" w:hAnsi="宋体" w:eastAsia="宋体" w:cs="宋体"/>
                <w:sz w:val="24"/>
                <w:szCs w:val="24"/>
                <w:highlight w:val="none"/>
                <w:lang w:eastAsia="zh-CN"/>
              </w:rPr>
              <w:t>要求”中的任何一项要求的，其报价无效；（</w:t>
            </w:r>
            <w:r>
              <w:rPr>
                <w:rFonts w:hint="eastAsia" w:ascii="宋体" w:hAnsi="宋体" w:eastAsia="宋体" w:cs="宋体"/>
                <w:sz w:val="24"/>
                <w:szCs w:val="24"/>
                <w:highlight w:val="none"/>
                <w:lang w:val="en-US" w:eastAsia="zh-CN"/>
              </w:rPr>
              <w:t>详见附件3</w:t>
            </w:r>
            <w:r>
              <w:rPr>
                <w:rFonts w:hint="eastAsia" w:ascii="宋体" w:hAnsi="宋体" w:eastAsia="宋体" w:cs="宋体"/>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6</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情形6</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7</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情形7</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不符合谈判文件中规定的其它实质性条款（比如：报价超过了谈判文件规定的最高限价）。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8</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情形8</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响应文件组成不符合谈判文件要求的；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9</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情形9</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一个供应商不止投一个标；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10</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情形10</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不符合谈判文件中规定的无效响应条款的。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11</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情形11</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响应文件载明的招标项目交付时间超过谈判文件规定或未载明招标项目交付时间的；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12</w:t>
            </w:r>
          </w:p>
        </w:tc>
        <w:tc>
          <w:tcPr>
            <w:tcW w:w="226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情形12</w:t>
            </w:r>
          </w:p>
        </w:tc>
        <w:tc>
          <w:tcPr>
            <w:tcW w:w="4999"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谈判小组认为应当停止评审工作的。</w:t>
            </w:r>
          </w:p>
        </w:tc>
      </w:tr>
    </w:tbl>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rPr>
        <w:t>谈判小组决定供应商的响应性只根据响应文件本身的内容，而不寻求其他的外部证据。</w:t>
      </w:r>
    </w:p>
    <w:p>
      <w:pPr>
        <w:pStyle w:val="9"/>
        <w:spacing w:line="360" w:lineRule="auto"/>
        <w:ind w:firstLine="960"/>
        <w:jc w:val="lef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其他情形</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采购包1：</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技术符合性</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02"/>
        <w:gridCol w:w="71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情形</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响应文件未按谈判文件规定由供应商代表签字，或未按谈判文件规定加盖供应商单位公章的；或供应商代表未获得有效授权的；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情形2</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响应内容与谈判采购内容及要求有重大偏离或保留的，限制了采购人的权利或者减少成交供应商合同项下的义务；（由于谈判项目本身特点，不能详细列明采购标的的技术、服务要求的除外）；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情形3</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情形4</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不符合谈判文件中规定的其它实质性条款（比如：报价超过了谈判文件规定的最高限价）。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情形5</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不符合谈判文件中规定的无效响应条款的。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情形6</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一个供应商不止投一个标；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02"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情形7</w:t>
            </w:r>
          </w:p>
        </w:tc>
        <w:tc>
          <w:tcPr>
            <w:tcW w:w="7104"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谈判小组认为应当停止评审工作的。</w:t>
            </w:r>
          </w:p>
        </w:tc>
      </w:tr>
    </w:tbl>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商务符合性</w:t>
      </w:r>
    </w:p>
    <w:tbl>
      <w:tblPr>
        <w:tblStyle w:val="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5"/>
        <w:gridCol w:w="70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情形</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情形1</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响应文件未按谈判文件规定由供应商代表签字，或未按谈判文件规定加盖供应商单位公章的；或供应商代表未获得有效授权的；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情形2</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响应内容与谈判采购内容及要求有重大偏离或保留的，限制了采购人的权利或者减少成交供应商合同项下的义务；（由于谈判项目本身特点，不能详细列明采购标的的技术、服务要求的除外）；</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情形3</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响应文件中附有采购人无法接受的条件的；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情形4</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不符合谈判文件中规定的其它实质性条款（比如：报价超过了谈判文件规定的最高限价）。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情形5</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不符合谈判文件中规定的无效响应条款的。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情形6</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响应文件载明的招标项目交付时间超过谈判文件规定或未载明招标项目交付时间的；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情形7</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响应文件载明的货物包装方式、检验标准和方法等不符合谈判文件要求或未载明货物包装方式、检验标准和方法的；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情形8</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一个供应商不止投一个标；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45"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情形9</w:t>
            </w:r>
          </w:p>
        </w:tc>
        <w:tc>
          <w:tcPr>
            <w:tcW w:w="7061" w:type="dxa"/>
          </w:tcPr>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谈判小组认为应当停止评审工作的。</w:t>
            </w:r>
          </w:p>
        </w:tc>
      </w:tr>
    </w:tbl>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价格符合性：无</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r>
        <w:rPr>
          <w:rFonts w:hint="eastAsia" w:ascii="宋体" w:hAnsi="宋体" w:eastAsia="宋体" w:cs="宋体"/>
          <w:sz w:val="24"/>
          <w:szCs w:val="24"/>
          <w:lang w:val="en-US" w:eastAsia="zh-CN"/>
        </w:rPr>
        <w:t>3</w:t>
      </w:r>
      <w:r>
        <w:rPr>
          <w:rFonts w:hint="eastAsia" w:ascii="宋体" w:hAnsi="宋体" w:eastAsia="宋体" w:cs="宋体"/>
          <w:sz w:val="24"/>
          <w:szCs w:val="24"/>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r>
        <w:rPr>
          <w:rFonts w:hint="eastAsia" w:ascii="宋体" w:hAnsi="宋体" w:eastAsia="宋体" w:cs="宋体"/>
          <w:sz w:val="24"/>
          <w:szCs w:val="24"/>
          <w:lang w:val="en-US" w:eastAsia="zh-CN"/>
        </w:rPr>
        <w:t>4</w:t>
      </w:r>
      <w:r>
        <w:rPr>
          <w:rFonts w:hint="eastAsia" w:ascii="宋体" w:hAnsi="宋体" w:eastAsia="宋体" w:cs="宋体"/>
          <w:sz w:val="24"/>
          <w:szCs w:val="24"/>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6项。</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w:t>
      </w:r>
      <w:r>
        <w:rPr>
          <w:rFonts w:hint="eastAsia" w:ascii="宋体" w:hAnsi="宋体" w:eastAsia="宋体" w:cs="宋体"/>
          <w:sz w:val="24"/>
          <w:szCs w:val="24"/>
          <w:lang w:val="en-US" w:eastAsia="zh-CN"/>
        </w:rPr>
        <w:t>法定代表</w:t>
      </w:r>
      <w:r>
        <w:rPr>
          <w:rFonts w:hint="eastAsia" w:ascii="宋体" w:hAnsi="宋体" w:eastAsia="宋体" w:cs="宋体"/>
          <w:sz w:val="24"/>
          <w:szCs w:val="24"/>
        </w:rPr>
        <w:t>人授权书”。供应商为自然人的，应当由本人签字并附身份证明。</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.2.6谈判文件能够详细列明采购标的的技术、服务要求的，谈判结束后，谈判小组应当要求所有继续参加谈判的供应商在规定时间内提交最后报价</w:t>
      </w:r>
      <w:r>
        <w:rPr>
          <w:rFonts w:hint="eastAsia" w:ascii="宋体" w:hAnsi="宋体" w:eastAsia="宋体" w:cs="宋体"/>
          <w:sz w:val="24"/>
          <w:szCs w:val="24"/>
          <w:lang w:eastAsia="zh-CN"/>
        </w:rPr>
        <w:t>，</w:t>
      </w:r>
      <w:r>
        <w:rPr>
          <w:rFonts w:hint="eastAsia" w:ascii="宋体" w:hAnsi="宋体" w:eastAsia="宋体" w:cs="宋体"/>
          <w:sz w:val="24"/>
          <w:szCs w:val="24"/>
        </w:rPr>
        <w:t>提交最后报价的供应商可以为2家。</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.2.7谈判文件不能详细列明采购标的的技术、服务要求，需经谈判由供应商提供最终设计方案或解决方案的，谈判结束后，谈判小组应当按照少数服从多数的原则投票推荐</w:t>
      </w:r>
      <w:r>
        <w:rPr>
          <w:rFonts w:hint="eastAsia" w:ascii="宋体" w:hAnsi="宋体" w:eastAsia="宋体" w:cs="宋体"/>
          <w:sz w:val="24"/>
          <w:szCs w:val="24"/>
          <w:lang w:val="en-US" w:eastAsia="zh-CN"/>
        </w:rPr>
        <w:t>2</w:t>
      </w:r>
      <w:r>
        <w:rPr>
          <w:rFonts w:hint="eastAsia" w:ascii="宋体" w:hAnsi="宋体" w:eastAsia="宋体" w:cs="宋体"/>
          <w:sz w:val="24"/>
          <w:szCs w:val="24"/>
        </w:rPr>
        <w:t>家以上供应商的设计方案或者解决方案。</w:t>
      </w:r>
    </w:p>
    <w:p>
      <w:pPr>
        <w:pStyle w:val="9"/>
        <w:spacing w:line="360" w:lineRule="auto"/>
        <w:ind w:firstLine="480"/>
        <w:jc w:val="both"/>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2.8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9"/>
        <w:spacing w:line="360" w:lineRule="auto"/>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.2.9谈判小组将从质量和服务均能满足采购文件实质性响应要求的供应商中，按照评审价由低到高的顺序提出成交候选人，并编写评审报告。</w:t>
      </w:r>
      <w:r>
        <w:rPr>
          <w:rFonts w:hint="eastAsia" w:ascii="宋体" w:hAnsi="宋体" w:eastAsia="宋体" w:cs="宋体"/>
          <w:sz w:val="24"/>
          <w:szCs w:val="24"/>
          <w:lang w:val="en-US" w:eastAsia="zh-CN"/>
        </w:rPr>
        <w:t xml:space="preserve"> </w:t>
      </w:r>
    </w:p>
    <w:p>
      <w:pPr>
        <w:pStyle w:val="9"/>
        <w:spacing w:line="360" w:lineRule="auto"/>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.2.10供应商提交的响应文件和资料将给予保密，但不退回（有关证件或证照的原件除外）。</w:t>
      </w:r>
    </w:p>
    <w:p>
      <w:pPr>
        <w:pStyle w:val="9"/>
        <w:spacing w:line="360" w:lineRule="auto"/>
        <w:jc w:val="left"/>
        <w:outlineLvl w:val="2"/>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、合同</w:t>
      </w:r>
      <w:r>
        <w:rPr>
          <w:rFonts w:hint="eastAsia" w:ascii="宋体" w:hAnsi="宋体" w:eastAsia="宋体" w:cs="宋体"/>
          <w:b/>
          <w:sz w:val="24"/>
          <w:szCs w:val="24"/>
          <w:lang w:val="en-US" w:eastAsia="zh-CN"/>
        </w:rPr>
        <w:t>签订</w:t>
      </w:r>
    </w:p>
    <w:p>
      <w:pPr>
        <w:pStyle w:val="9"/>
        <w:spacing w:line="360" w:lineRule="auto"/>
        <w:ind w:firstLine="482" w:firstLineChars="200"/>
        <w:jc w:val="both"/>
        <w:rPr>
          <w:rFonts w:hint="eastAsia" w:ascii="宋体" w:hAnsi="宋体" w:eastAsia="宋体" w:cs="宋体"/>
          <w:sz w:val="24"/>
          <w:szCs w:val="24"/>
        </w:rPr>
      </w:pPr>
      <w:r>
        <w:rPr>
          <w:rFonts w:hint="eastAsia" w:ascii="宋体" w:hAnsi="宋体" w:eastAsia="宋体" w:cs="宋体"/>
          <w:b/>
          <w:sz w:val="24"/>
          <w:szCs w:val="24"/>
          <w:lang w:val="en-US" w:eastAsia="zh-CN"/>
        </w:rPr>
        <w:t>签订</w:t>
      </w:r>
      <w:r>
        <w:rPr>
          <w:rFonts w:hint="eastAsia" w:ascii="宋体" w:hAnsi="宋体" w:eastAsia="宋体" w:cs="宋体"/>
          <w:b/>
          <w:sz w:val="24"/>
          <w:szCs w:val="24"/>
        </w:rPr>
        <w:t>合同的准则：</w:t>
      </w:r>
      <w:r>
        <w:rPr>
          <w:rFonts w:hint="eastAsia" w:ascii="宋体" w:hAnsi="宋体" w:eastAsia="宋体" w:cs="宋体"/>
          <w:sz w:val="24"/>
          <w:szCs w:val="24"/>
        </w:rPr>
        <w:t>除不可抗力等因素外，合同将</w:t>
      </w:r>
      <w:r>
        <w:rPr>
          <w:rFonts w:hint="eastAsia" w:ascii="宋体" w:hAnsi="宋体" w:eastAsia="宋体" w:cs="宋体"/>
          <w:sz w:val="24"/>
          <w:szCs w:val="24"/>
          <w:lang w:val="en-US" w:eastAsia="zh-CN"/>
        </w:rPr>
        <w:t>与</w:t>
      </w:r>
      <w:r>
        <w:rPr>
          <w:rFonts w:hint="eastAsia" w:ascii="宋体" w:hAnsi="宋体" w:eastAsia="宋体" w:cs="宋体"/>
          <w:sz w:val="24"/>
          <w:szCs w:val="24"/>
        </w:rPr>
        <w:t>响应文件符合竞争性谈判文件要求，能够圆满地履行合同，且被谈判小组推荐为第一成交候选人的供应商。</w:t>
      </w:r>
    </w:p>
    <w:p>
      <w:pPr>
        <w:pStyle w:val="9"/>
        <w:spacing w:line="360" w:lineRule="auto"/>
        <w:ind w:firstLine="480" w:firstLineChars="200"/>
        <w:jc w:val="both"/>
        <w:rPr>
          <w:rFonts w:hint="default" w:ascii="宋体" w:hAnsi="宋体" w:eastAsia="宋体" w:cs="宋体"/>
          <w:sz w:val="24"/>
          <w:szCs w:val="24"/>
          <w:lang w:val="en-US"/>
        </w:rPr>
      </w:pPr>
      <w:r>
        <w:rPr>
          <w:rFonts w:hint="eastAsia"/>
          <w:sz w:val="24"/>
          <w:szCs w:val="24"/>
          <w:lang w:val="en-US" w:eastAsia="zh-CN"/>
        </w:rPr>
        <w:t>供应商需提供含税报价和不含税报价，以不含税价报价作为评标价，以含税报价作为中标价签订合同。</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br w:type="page"/>
      </w:r>
    </w:p>
    <w:p>
      <w:pPr>
        <w:pStyle w:val="9"/>
        <w:spacing w:line="360" w:lineRule="auto"/>
        <w:jc w:val="center"/>
        <w:outlineLvl w:val="0"/>
        <w:rPr>
          <w:rFonts w:hint="eastAsia" w:ascii="宋体" w:hAnsi="宋体" w:eastAsia="宋体" w:cs="宋体"/>
          <w:sz w:val="24"/>
          <w:szCs w:val="24"/>
        </w:rPr>
      </w:pPr>
      <w:bookmarkStart w:id="5" w:name="_Toc27907"/>
      <w:r>
        <w:rPr>
          <w:rFonts w:hint="eastAsia" w:ascii="宋体" w:hAnsi="宋体" w:eastAsia="宋体" w:cs="宋体"/>
          <w:b/>
          <w:sz w:val="24"/>
          <w:szCs w:val="24"/>
        </w:rPr>
        <w:t>第三章 采购内容及要求</w:t>
      </w:r>
      <w:bookmarkEnd w:id="5"/>
    </w:p>
    <w:p>
      <w:pPr>
        <w:spacing w:line="360" w:lineRule="auto"/>
        <w:ind w:firstLine="480" w:firstLineChars="200"/>
        <w:rPr>
          <w:rFonts w:hint="eastAsia"/>
          <w:b w:val="0"/>
          <w:bCs/>
        </w:rPr>
      </w:pPr>
      <w:r>
        <w:rPr>
          <w:rFonts w:hint="eastAsia" w:ascii="宋体" w:hAnsi="宋体" w:eastAsia="宋体" w:cs="宋体"/>
          <w:b w:val="0"/>
          <w:bCs/>
          <w:sz w:val="24"/>
          <w:szCs w:val="24"/>
          <w:lang w:val="en-US" w:eastAsia="zh-CN"/>
        </w:rPr>
        <w:t>供应商的响应文件需提供</w:t>
      </w:r>
      <w:r>
        <w:rPr>
          <w:rFonts w:hint="eastAsia" w:ascii="宋体" w:hAnsi="宋体" w:eastAsia="宋体" w:cs="宋体"/>
          <w:b w:val="0"/>
          <w:bCs/>
          <w:sz w:val="24"/>
          <w:szCs w:val="24"/>
        </w:rPr>
        <w:t>相关技术、商务、服务响应承诺及资料</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lang w:val="en-US" w:eastAsia="zh-CN"/>
        </w:rPr>
        <w:t>详见附件3。</w:t>
      </w:r>
    </w:p>
    <w:p>
      <w:pPr>
        <w:pStyle w:val="9"/>
        <w:spacing w:line="360" w:lineRule="auto"/>
        <w:jc w:val="both"/>
        <w:outlineLvl w:val="2"/>
        <w:rPr>
          <w:rFonts w:hint="eastAsia" w:ascii="宋体" w:hAnsi="宋体" w:eastAsia="宋体" w:cs="宋体"/>
          <w:sz w:val="24"/>
          <w:szCs w:val="24"/>
        </w:rPr>
      </w:pPr>
      <w:r>
        <w:rPr>
          <w:rFonts w:hint="eastAsia" w:ascii="宋体" w:hAnsi="宋体" w:eastAsia="宋体" w:cs="宋体"/>
          <w:b/>
          <w:sz w:val="24"/>
          <w:szCs w:val="24"/>
        </w:rPr>
        <w:t>一、采购内容及要求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奖品及纪念品制作主要包含：个人奖、团体奖、到场纪念品等设计制作，总金额人民币109000元。具体服务要求包含：</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1）个人奖：总共15份。第一名奖品2份，价值不少于人民币8000元；第二名奖品3份，价值不少于人民币4500元；第三名奖品</w:t>
      </w:r>
      <w:r>
        <w:rPr>
          <w:rFonts w:hint="eastAsia" w:ascii="宋体" w:hAnsi="宋体" w:eastAsia="宋体" w:cs="宋体"/>
          <w:sz w:val="24"/>
          <w:szCs w:val="24"/>
          <w:lang w:val="en-US" w:eastAsia="zh-CN"/>
        </w:rPr>
        <w:t>5</w:t>
      </w:r>
      <w:r>
        <w:rPr>
          <w:rFonts w:hint="eastAsia" w:ascii="宋体" w:hAnsi="宋体" w:eastAsia="宋体" w:cs="宋体"/>
          <w:sz w:val="24"/>
          <w:szCs w:val="24"/>
        </w:rPr>
        <w:t>份，价值不少于人民币2500元；优秀奖奖品5份，价值不少于人民币500元。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2）团体奖：总共15份。第一名奖品2份，价值不少于人民币9000元；第二名奖品3份，价值不少于人民币6000元；第三名奖品5份，价值不少于人民币3000元；优秀奖奖品5份，价值不少于人民币1500元。</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3）到场纪念品：总共60份，价值不少于人民币100元。</w:t>
      </w:r>
    </w:p>
    <w:tbl>
      <w:tblPr>
        <w:tblStyle w:val="6"/>
        <w:tblW w:w="8580" w:type="dxa"/>
        <w:jc w:val="center"/>
        <w:tblLayout w:type="autofit"/>
        <w:tblCellMar>
          <w:top w:w="0" w:type="dxa"/>
          <w:left w:w="108" w:type="dxa"/>
          <w:bottom w:w="0" w:type="dxa"/>
          <w:right w:w="108" w:type="dxa"/>
        </w:tblCellMar>
      </w:tblPr>
      <w:tblGrid>
        <w:gridCol w:w="843"/>
        <w:gridCol w:w="2821"/>
        <w:gridCol w:w="2029"/>
        <w:gridCol w:w="845"/>
        <w:gridCol w:w="2042"/>
      </w:tblGrid>
      <w:tr>
        <w:tblPrEx>
          <w:tblCellMar>
            <w:top w:w="0" w:type="dxa"/>
            <w:left w:w="108" w:type="dxa"/>
            <w:bottom w:w="0" w:type="dxa"/>
            <w:right w:w="108" w:type="dxa"/>
          </w:tblCellMar>
        </w:tblPrEx>
        <w:trPr>
          <w:trHeight w:val="495" w:hRule="atLeast"/>
          <w:jc w:val="center"/>
        </w:trPr>
        <w:tc>
          <w:tcPr>
            <w:tcW w:w="8580" w:type="dxa"/>
            <w:gridSpan w:val="5"/>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2023年中国（福建）国际贸易单一窗口报关技能竞赛服务项目明细表</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内容</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价值（元）</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数量</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金额（元）</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个人第一名奖品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16000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个人第二名奖品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4500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13500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个人第三名奖品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12500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个人优秀奖奖品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2500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团体第一名奖品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9000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团体第二名奖品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18000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团体第三名奖品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3000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团体优秀奖奖品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7500</w:t>
            </w:r>
          </w:p>
        </w:tc>
      </w:tr>
      <w:tr>
        <w:tblPrEx>
          <w:tblCellMar>
            <w:top w:w="0" w:type="dxa"/>
            <w:left w:w="108" w:type="dxa"/>
            <w:bottom w:w="0" w:type="dxa"/>
            <w:right w:w="108" w:type="dxa"/>
          </w:tblCellMar>
        </w:tblPrEx>
        <w:trPr>
          <w:trHeight w:val="495" w:hRule="atLeast"/>
          <w:jc w:val="center"/>
        </w:trPr>
        <w:tc>
          <w:tcPr>
            <w:tcW w:w="843" w:type="dxa"/>
            <w:tcBorders>
              <w:top w:val="nil"/>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2821"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纪念品</w:t>
            </w:r>
          </w:p>
        </w:tc>
        <w:tc>
          <w:tcPr>
            <w:tcW w:w="2029"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845"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6000</w:t>
            </w:r>
          </w:p>
        </w:tc>
      </w:tr>
      <w:tr>
        <w:tblPrEx>
          <w:tblCellMar>
            <w:top w:w="0" w:type="dxa"/>
            <w:left w:w="108" w:type="dxa"/>
            <w:bottom w:w="0" w:type="dxa"/>
            <w:right w:w="108" w:type="dxa"/>
          </w:tblCellMar>
        </w:tblPrEx>
        <w:trPr>
          <w:trHeight w:val="506" w:hRule="atLeast"/>
          <w:jc w:val="center"/>
        </w:trPr>
        <w:tc>
          <w:tcPr>
            <w:tcW w:w="6538"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合计</w:t>
            </w:r>
          </w:p>
        </w:tc>
        <w:tc>
          <w:tcPr>
            <w:tcW w:w="2042" w:type="dxa"/>
            <w:tcBorders>
              <w:top w:val="nil"/>
              <w:left w:val="nil"/>
              <w:bottom w:val="single" w:color="auto" w:sz="4" w:space="0"/>
              <w:right w:val="single" w:color="auto" w:sz="4" w:space="0"/>
            </w:tcBorders>
            <w:shd w:val="clear" w:color="auto" w:fill="auto"/>
            <w:noWrap/>
            <w:vAlign w:val="bottom"/>
          </w:tcPr>
          <w:p>
            <w:pPr>
              <w:widowControl/>
              <w:spacing w:line="360" w:lineRule="auto"/>
              <w:jc w:val="righ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109000</w:t>
            </w:r>
          </w:p>
        </w:tc>
      </w:tr>
    </w:tbl>
    <w:p>
      <w:pPr>
        <w:pStyle w:val="9"/>
        <w:spacing w:line="360" w:lineRule="auto"/>
        <w:jc w:val="both"/>
        <w:rPr>
          <w:rFonts w:hint="eastAsia" w:ascii="宋体" w:hAnsi="宋体" w:eastAsia="宋体" w:cs="宋体"/>
          <w:sz w:val="24"/>
          <w:szCs w:val="24"/>
        </w:rPr>
      </w:pPr>
    </w:p>
    <w:p>
      <w:pPr>
        <w:pStyle w:val="9"/>
        <w:spacing w:line="360" w:lineRule="auto"/>
        <w:jc w:val="both"/>
        <w:outlineLvl w:val="2"/>
        <w:rPr>
          <w:rFonts w:hint="eastAsia" w:ascii="宋体" w:hAnsi="宋体" w:eastAsia="宋体" w:cs="宋体"/>
          <w:sz w:val="24"/>
          <w:szCs w:val="24"/>
        </w:rPr>
      </w:pPr>
      <w:r>
        <w:rPr>
          <w:rFonts w:hint="eastAsia" w:ascii="宋体" w:hAnsi="宋体" w:eastAsia="宋体" w:cs="宋体"/>
          <w:b/>
          <w:sz w:val="24"/>
          <w:szCs w:val="24"/>
          <w:lang w:val="en-US" w:eastAsia="zh-CN"/>
        </w:rPr>
        <w:t>二</w:t>
      </w:r>
      <w:r>
        <w:rPr>
          <w:rFonts w:hint="eastAsia" w:ascii="宋体" w:hAnsi="宋体" w:eastAsia="宋体" w:cs="宋体"/>
          <w:b/>
          <w:sz w:val="24"/>
          <w:szCs w:val="24"/>
        </w:rPr>
        <w:t>、商务条件</w:t>
      </w:r>
    </w:p>
    <w:p>
      <w:pPr>
        <w:pStyle w:val="9"/>
        <w:spacing w:line="360" w:lineRule="auto"/>
        <w:jc w:val="left"/>
        <w:rPr>
          <w:rFonts w:hint="eastAsia" w:ascii="宋体" w:hAnsi="宋体" w:eastAsia="宋体" w:cs="宋体"/>
          <w:sz w:val="24"/>
          <w:szCs w:val="24"/>
        </w:rPr>
      </w:pPr>
      <w:r>
        <w:rPr>
          <w:rFonts w:hint="eastAsia" w:ascii="宋体" w:hAnsi="宋体" w:eastAsia="宋体" w:cs="宋体"/>
          <w:sz w:val="24"/>
          <w:szCs w:val="24"/>
        </w:rPr>
        <w:t>采购包1：</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1、支付方式：</w:t>
      </w:r>
    </w:p>
    <w:tbl>
      <w:tblPr>
        <w:tblStyle w:val="6"/>
        <w:tblW w:w="5117" w:type="pct"/>
        <w:tblInd w:w="8"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028"/>
        <w:gridCol w:w="1269"/>
        <w:gridCol w:w="62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653" w:hRule="atLeast"/>
          <w:tblHeader/>
        </w:trPr>
        <w:tc>
          <w:tcPr>
            <w:tcW w:w="603"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支付期次</w:t>
            </w:r>
          </w:p>
        </w:tc>
        <w:tc>
          <w:tcPr>
            <w:tcW w:w="745"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支付比例(%)</w:t>
            </w:r>
          </w:p>
        </w:tc>
        <w:tc>
          <w:tcPr>
            <w:tcW w:w="36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ind w:firstLine="480" w:firstLineChars="200"/>
              <w:jc w:val="center"/>
              <w:rPr>
                <w:rFonts w:hint="eastAsia" w:ascii="宋体" w:hAnsi="宋体" w:eastAsia="宋体" w:cs="宋体"/>
                <w:bCs/>
                <w:sz w:val="24"/>
                <w:szCs w:val="24"/>
              </w:rPr>
            </w:pPr>
            <w:r>
              <w:rPr>
                <w:rFonts w:hint="eastAsia" w:ascii="宋体" w:hAnsi="宋体" w:eastAsia="宋体" w:cs="宋体"/>
                <w:bCs/>
                <w:sz w:val="24"/>
                <w:szCs w:val="24"/>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rHeight w:val="805" w:hRule="atLeast"/>
        </w:trPr>
        <w:tc>
          <w:tcPr>
            <w:tcW w:w="603"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1</w:t>
            </w:r>
          </w:p>
        </w:tc>
        <w:tc>
          <w:tcPr>
            <w:tcW w:w="745"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50</w:t>
            </w:r>
          </w:p>
        </w:tc>
        <w:tc>
          <w:tcPr>
            <w:tcW w:w="36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rPr>
                <w:rFonts w:hint="eastAsia" w:ascii="宋体" w:hAnsi="宋体" w:eastAsia="宋体" w:cs="宋体"/>
                <w:bCs/>
                <w:sz w:val="24"/>
                <w:szCs w:val="24"/>
                <w:lang w:eastAsia="zh-CN"/>
              </w:rPr>
            </w:pPr>
            <w:r>
              <w:rPr>
                <w:rFonts w:hint="eastAsia" w:ascii="宋体" w:hAnsi="宋体" w:eastAsia="宋体" w:cs="宋体"/>
                <w:bCs/>
                <w:sz w:val="24"/>
                <w:szCs w:val="24"/>
              </w:rPr>
              <w:t>合同签订后，甲方在收到乙方开具的等额且合法有效的发票之日起10个工作日内向乙方支付合同总金额</w:t>
            </w:r>
            <w:r>
              <w:rPr>
                <w:rFonts w:hint="eastAsia" w:ascii="宋体" w:hAnsi="宋体" w:eastAsia="宋体" w:cs="宋体"/>
                <w:bCs/>
                <w:sz w:val="24"/>
                <w:szCs w:val="24"/>
                <w:lang w:val="en-US" w:eastAsia="zh-CN"/>
              </w:rPr>
              <w:t>5</w:t>
            </w:r>
            <w:r>
              <w:rPr>
                <w:rFonts w:hint="eastAsia" w:ascii="宋体" w:hAnsi="宋体" w:eastAsia="宋体" w:cs="宋体"/>
                <w:bCs/>
                <w:sz w:val="24"/>
                <w:szCs w:val="24"/>
              </w:rPr>
              <w:t>0%的款项</w:t>
            </w:r>
            <w:r>
              <w:rPr>
                <w:rFonts w:hint="eastAsia" w:ascii="宋体" w:hAnsi="宋体" w:eastAsia="宋体" w:cs="宋体"/>
                <w:bCs/>
                <w:sz w:val="24"/>
                <w:szCs w:val="24"/>
                <w:lang w:eastAsia="zh-CN"/>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rHeight w:val="965" w:hRule="atLeast"/>
        </w:trPr>
        <w:tc>
          <w:tcPr>
            <w:tcW w:w="603"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2</w:t>
            </w:r>
          </w:p>
        </w:tc>
        <w:tc>
          <w:tcPr>
            <w:tcW w:w="745"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50</w:t>
            </w:r>
          </w:p>
        </w:tc>
        <w:tc>
          <w:tcPr>
            <w:tcW w:w="3650" w:type="pct"/>
            <w:tcBorders>
              <w:top w:val="single" w:color="666666" w:sz="6" w:space="0"/>
              <w:left w:val="single" w:color="666666" w:sz="6" w:space="0"/>
              <w:bottom w:val="single" w:color="666666" w:sz="6" w:space="0"/>
              <w:right w:val="single" w:color="666666" w:sz="6" w:space="0"/>
            </w:tcBorders>
            <w:shd w:val="clear" w:color="auto" w:fill="FFFFFF"/>
            <w:vAlign w:val="center"/>
          </w:tcPr>
          <w:p>
            <w:pPr>
              <w:spacing w:line="360" w:lineRule="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服务</w:t>
            </w:r>
            <w:r>
              <w:rPr>
                <w:rFonts w:hint="eastAsia" w:ascii="宋体" w:hAnsi="宋体" w:eastAsia="宋体" w:cs="宋体"/>
                <w:bCs/>
                <w:sz w:val="24"/>
                <w:szCs w:val="24"/>
              </w:rPr>
              <w:t>完成后，提供等额且合法有效的增值税专用发票之日起10个工作日内支付合同价款的</w:t>
            </w:r>
            <w:r>
              <w:rPr>
                <w:rFonts w:hint="eastAsia" w:ascii="宋体" w:hAnsi="宋体" w:eastAsia="宋体" w:cs="宋体"/>
                <w:bCs/>
                <w:sz w:val="24"/>
                <w:szCs w:val="24"/>
                <w:lang w:val="en-US" w:eastAsia="zh-CN"/>
              </w:rPr>
              <w:t>5</w:t>
            </w:r>
            <w:r>
              <w:rPr>
                <w:rFonts w:hint="eastAsia" w:ascii="宋体" w:hAnsi="宋体" w:eastAsia="宋体" w:cs="宋体"/>
                <w:bCs/>
                <w:sz w:val="24"/>
                <w:szCs w:val="24"/>
              </w:rPr>
              <w:t>0%</w:t>
            </w:r>
          </w:p>
        </w:tc>
      </w:tr>
    </w:tbl>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2、品质保证：乙方提供的产品如不符合国家有关标准，乙方应无条件免费更换。如因甲方采购下单失误导致商品不适宜甲方使用，经双方确认、协商后，在乙方力所能及的情况下，乙方应予以退换。</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3、服务期限：至双方权利义务履行完毕止。</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4、服务地点：采购人指定地点。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5、其他交附条件：</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服务质量标准及要求: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bCs/>
          <w:sz w:val="24"/>
          <w:szCs w:val="24"/>
        </w:rPr>
        <w:t>（1）成交人中标后需向采购人提交服务内容中奖品及纪念品制作等详细具体的服务方案，方案应满足采购人要求，并经过采购人审批确认后方可实施开展，实施交付成果需满足采购人要求的质量标准，投标方需对此项要求进行承诺。</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成交人提供的服务或使用的产品、软件等应符合国家知识产权法律、法规的规定;成交人还应保证采购人不受到第三方关于侵犯知识产权及专利权、商标权或工业设计权等知识产权方面的指控，任何第三方如果提出此方面指控均与采购人无关，成交人应与第三方交涉，并承担可能发生的一切法律责任、费用和后果;若采购人因此而遭致损失，则成交人应赔偿该损失。</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3）若成交人提供的服务或使用的产品、软件等不符合国家知识产权法律、法规的规定或被有关主管机关认定为侵权或假冒伪劣品，则成交人中标或成交资格将被取消:采购人还将按照有关法律、法规和规章的规定进行处理，具体如下:成交人应向采购人退还采购人已支付的合同款项，并承担一切法律责任和经济责任，赔偿因此给采购人造成的损失。</w:t>
      </w:r>
    </w:p>
    <w:p>
      <w:pPr>
        <w:pStyle w:val="9"/>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（4）成交人服务的提供周期时间需要满足采购人的实际使用需求。</w:t>
      </w:r>
    </w:p>
    <w:p>
      <w:pPr>
        <w:rPr>
          <w:rFonts w:hint="eastAsia" w:ascii="宋体" w:hAnsi="宋体" w:eastAsia="宋体" w:cs="宋体"/>
          <w:bCs/>
          <w:sz w:val="24"/>
          <w:szCs w:val="24"/>
        </w:rPr>
      </w:pPr>
      <w:r>
        <w:rPr>
          <w:rFonts w:hint="eastAsia" w:ascii="宋体" w:hAnsi="宋体" w:eastAsia="宋体" w:cs="宋体"/>
          <w:bCs/>
          <w:sz w:val="24"/>
          <w:szCs w:val="24"/>
        </w:rPr>
        <w:br w:type="page"/>
      </w:r>
    </w:p>
    <w:p>
      <w:pPr>
        <w:widowControl/>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w:t>
      </w:r>
    </w:p>
    <w:tbl>
      <w:tblPr>
        <w:tblStyle w:val="6"/>
        <w:tblW w:w="8680" w:type="dxa"/>
        <w:tblInd w:w="96" w:type="dxa"/>
        <w:tblLayout w:type="fixed"/>
        <w:tblCellMar>
          <w:top w:w="0" w:type="dxa"/>
          <w:left w:w="108" w:type="dxa"/>
          <w:bottom w:w="0" w:type="dxa"/>
          <w:right w:w="108" w:type="dxa"/>
        </w:tblCellMar>
      </w:tblPr>
      <w:tblGrid>
        <w:gridCol w:w="3344"/>
        <w:gridCol w:w="1857"/>
        <w:gridCol w:w="1728"/>
        <w:gridCol w:w="1751"/>
      </w:tblGrid>
      <w:tr>
        <w:tblPrEx>
          <w:tblCellMar>
            <w:top w:w="0" w:type="dxa"/>
            <w:left w:w="108" w:type="dxa"/>
            <w:bottom w:w="0" w:type="dxa"/>
            <w:right w:w="108" w:type="dxa"/>
          </w:tblCellMar>
        </w:tblPrEx>
        <w:trPr>
          <w:trHeight w:val="966" w:hRule="atLeast"/>
        </w:trPr>
        <w:tc>
          <w:tcPr>
            <w:tcW w:w="8680" w:type="dxa"/>
            <w:gridSpan w:val="4"/>
            <w:tcBorders>
              <w:top w:val="nil"/>
              <w:left w:val="nil"/>
              <w:bottom w:val="single" w:color="auto" w:sz="4" w:space="0"/>
              <w:right w:val="nil"/>
            </w:tcBorders>
            <w:shd w:val="clear" w:color="auto" w:fill="auto"/>
            <w:noWrap/>
            <w:vAlign w:val="center"/>
          </w:tcPr>
          <w:p>
            <w:pPr>
              <w:widowControl/>
              <w:spacing w:line="360" w:lineRule="auto"/>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32"/>
                <w:szCs w:val="32"/>
                <w:lang w:bidi="ar"/>
              </w:rPr>
              <w:t>报价单</w:t>
            </w:r>
          </w:p>
        </w:tc>
      </w:tr>
      <w:tr>
        <w:tblPrEx>
          <w:tblCellMar>
            <w:top w:w="0" w:type="dxa"/>
            <w:left w:w="108" w:type="dxa"/>
            <w:bottom w:w="0" w:type="dxa"/>
            <w:right w:w="108" w:type="dxa"/>
          </w:tblCellMar>
        </w:tblPrEx>
        <w:trPr>
          <w:trHeight w:val="557" w:hRule="atLeast"/>
        </w:trPr>
        <w:tc>
          <w:tcPr>
            <w:tcW w:w="86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tabs>
                <w:tab w:val="left" w:pos="751"/>
              </w:tabs>
              <w:spacing w:line="360" w:lineRule="auto"/>
              <w:jc w:val="left"/>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报价单位：                             报价时间：</w:t>
            </w:r>
          </w:p>
        </w:tc>
      </w:tr>
      <w:tr>
        <w:tblPrEx>
          <w:tblCellMar>
            <w:top w:w="0" w:type="dxa"/>
            <w:left w:w="108" w:type="dxa"/>
            <w:bottom w:w="0" w:type="dxa"/>
            <w:right w:w="108" w:type="dxa"/>
          </w:tblCellMar>
        </w:tblPrEx>
        <w:trPr>
          <w:trHeight w:val="544" w:hRule="atLeast"/>
        </w:trPr>
        <w:tc>
          <w:tcPr>
            <w:tcW w:w="334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项目名称</w:t>
            </w:r>
          </w:p>
        </w:tc>
        <w:tc>
          <w:tcPr>
            <w:tcW w:w="185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品目号</w:t>
            </w:r>
          </w:p>
        </w:tc>
        <w:tc>
          <w:tcPr>
            <w:tcW w:w="172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0"/>
                <w:sz w:val="24"/>
                <w:szCs w:val="24"/>
                <w:lang w:bidi="ar"/>
              </w:rPr>
              <w:t>规格</w:t>
            </w:r>
          </w:p>
        </w:tc>
        <w:tc>
          <w:tcPr>
            <w:tcW w:w="17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sz w:val="24"/>
                <w:szCs w:val="24"/>
              </w:rPr>
              <w:t>数量</w:t>
            </w:r>
          </w:p>
        </w:tc>
      </w:tr>
      <w:tr>
        <w:tblPrEx>
          <w:tblCellMar>
            <w:top w:w="0" w:type="dxa"/>
            <w:left w:w="108" w:type="dxa"/>
            <w:bottom w:w="0" w:type="dxa"/>
            <w:right w:w="108" w:type="dxa"/>
          </w:tblCellMar>
        </w:tblPrEx>
        <w:trPr>
          <w:trHeight w:val="2115" w:hRule="atLeast"/>
        </w:trPr>
        <w:tc>
          <w:tcPr>
            <w:tcW w:w="3344"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sz w:val="24"/>
                <w:szCs w:val="24"/>
              </w:rPr>
            </w:pPr>
          </w:p>
        </w:tc>
        <w:tc>
          <w:tcPr>
            <w:tcW w:w="1857"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hint="eastAsia" w:ascii="宋体" w:hAnsi="宋体" w:eastAsia="宋体" w:cs="宋体"/>
                <w:color w:val="000000"/>
                <w:sz w:val="24"/>
                <w:szCs w:val="24"/>
              </w:rPr>
            </w:pPr>
          </w:p>
        </w:tc>
        <w:tc>
          <w:tcPr>
            <w:tcW w:w="1728"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color w:val="000000"/>
                <w:sz w:val="24"/>
                <w:szCs w:val="24"/>
              </w:rPr>
            </w:pPr>
          </w:p>
        </w:tc>
        <w:tc>
          <w:tcPr>
            <w:tcW w:w="175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619" w:hRule="atLeast"/>
        </w:trPr>
        <w:tc>
          <w:tcPr>
            <w:tcW w:w="3344" w:type="dxa"/>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税率</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宋体" w:hAnsi="宋体" w:eastAsia="宋体" w:cs="宋体"/>
                <w:color w:val="000000"/>
                <w:sz w:val="24"/>
                <w:szCs w:val="24"/>
                <w:lang w:val="en-US" w:eastAsia="zh-CN"/>
              </w:rPr>
            </w:pPr>
          </w:p>
        </w:tc>
      </w:tr>
      <w:tr>
        <w:tblPrEx>
          <w:tblCellMar>
            <w:top w:w="0" w:type="dxa"/>
            <w:left w:w="108" w:type="dxa"/>
            <w:bottom w:w="0" w:type="dxa"/>
            <w:right w:w="108" w:type="dxa"/>
          </w:tblCellMar>
        </w:tblPrEx>
        <w:trPr>
          <w:trHeight w:val="619" w:hRule="atLeast"/>
        </w:trPr>
        <w:tc>
          <w:tcPr>
            <w:tcW w:w="3344"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总计金额：（含税）</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人民币大写：</w:t>
            </w:r>
          </w:p>
        </w:tc>
      </w:tr>
      <w:tr>
        <w:tblPrEx>
          <w:tblCellMar>
            <w:top w:w="0" w:type="dxa"/>
            <w:left w:w="108" w:type="dxa"/>
            <w:bottom w:w="0" w:type="dxa"/>
            <w:right w:w="108" w:type="dxa"/>
          </w:tblCellMar>
        </w:tblPrEx>
        <w:trPr>
          <w:trHeight w:val="619" w:hRule="atLeast"/>
        </w:trPr>
        <w:tc>
          <w:tcPr>
            <w:tcW w:w="3344"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0"/>
                <w:sz w:val="24"/>
                <w:szCs w:val="24"/>
                <w:lang w:bidi="ar"/>
              </w:rPr>
            </w:pP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人民币小写</w:t>
            </w:r>
          </w:p>
        </w:tc>
      </w:tr>
      <w:tr>
        <w:tblPrEx>
          <w:tblCellMar>
            <w:top w:w="0" w:type="dxa"/>
            <w:left w:w="108" w:type="dxa"/>
            <w:bottom w:w="0" w:type="dxa"/>
            <w:right w:w="108" w:type="dxa"/>
          </w:tblCellMar>
        </w:tblPrEx>
        <w:trPr>
          <w:trHeight w:val="619" w:hRule="atLeast"/>
        </w:trPr>
        <w:tc>
          <w:tcPr>
            <w:tcW w:w="3344" w:type="dxa"/>
            <w:vMerge w:val="restart"/>
            <w:tcBorders>
              <w:top w:val="single" w:color="000000" w:sz="4" w:space="0"/>
              <w:left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总计金额：（</w:t>
            </w:r>
            <w:r>
              <w:rPr>
                <w:rFonts w:hint="eastAsia" w:ascii="宋体" w:hAnsi="宋体" w:eastAsia="宋体" w:cs="宋体"/>
                <w:b/>
                <w:bCs/>
                <w:color w:val="000000"/>
                <w:kern w:val="0"/>
                <w:sz w:val="24"/>
                <w:szCs w:val="24"/>
                <w:lang w:val="en-US" w:eastAsia="zh-CN" w:bidi="ar"/>
              </w:rPr>
              <w:t>不</w:t>
            </w:r>
            <w:r>
              <w:rPr>
                <w:rFonts w:hint="eastAsia" w:ascii="宋体" w:hAnsi="宋体" w:eastAsia="宋体" w:cs="宋体"/>
                <w:b/>
                <w:bCs/>
                <w:color w:val="000000"/>
                <w:kern w:val="0"/>
                <w:sz w:val="24"/>
                <w:szCs w:val="24"/>
                <w:lang w:bidi="ar"/>
              </w:rPr>
              <w:t>含税）</w:t>
            </w: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人民币大写：</w:t>
            </w:r>
          </w:p>
        </w:tc>
      </w:tr>
      <w:tr>
        <w:tblPrEx>
          <w:tblCellMar>
            <w:top w:w="0" w:type="dxa"/>
            <w:left w:w="108" w:type="dxa"/>
            <w:bottom w:w="0" w:type="dxa"/>
            <w:right w:w="108" w:type="dxa"/>
          </w:tblCellMar>
        </w:tblPrEx>
        <w:trPr>
          <w:trHeight w:val="641" w:hRule="atLeast"/>
        </w:trPr>
        <w:tc>
          <w:tcPr>
            <w:tcW w:w="3344" w:type="dxa"/>
            <w:vMerge w:val="continue"/>
            <w:tcBorders>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hint="eastAsia" w:ascii="宋体" w:hAnsi="宋体" w:eastAsia="宋体" w:cs="宋体"/>
                <w:b/>
                <w:bCs/>
                <w:color w:val="000000"/>
                <w:kern w:val="0"/>
                <w:sz w:val="24"/>
                <w:szCs w:val="24"/>
                <w:lang w:bidi="ar"/>
              </w:rPr>
            </w:pPr>
          </w:p>
        </w:tc>
        <w:tc>
          <w:tcPr>
            <w:tcW w:w="533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lang w:val="en-US" w:eastAsia="zh-CN"/>
              </w:rPr>
              <w:t>人民币小写</w:t>
            </w:r>
          </w:p>
        </w:tc>
      </w:tr>
    </w:tbl>
    <w:p>
      <w:pPr>
        <w:tabs>
          <w:tab w:val="left" w:pos="2715"/>
        </w:tabs>
        <w:spacing w:line="360" w:lineRule="auto"/>
        <w:jc w:val="left"/>
        <w:rPr>
          <w:rFonts w:hint="eastAsia" w:ascii="宋体" w:hAnsi="宋体" w:eastAsia="宋体" w:cs="宋体"/>
          <w:sz w:val="24"/>
          <w:szCs w:val="24"/>
        </w:rPr>
      </w:pPr>
    </w:p>
    <w:p>
      <w:pPr>
        <w:tabs>
          <w:tab w:val="left" w:pos="2715"/>
        </w:tabs>
        <w:spacing w:line="360" w:lineRule="auto"/>
        <w:jc w:val="left"/>
        <w:rPr>
          <w:rFonts w:hint="eastAsia" w:ascii="宋体" w:hAnsi="宋体" w:eastAsia="宋体" w:cs="宋体"/>
          <w:sz w:val="24"/>
          <w:szCs w:val="24"/>
        </w:rPr>
      </w:pPr>
      <w:r>
        <w:rPr>
          <w:rFonts w:hint="eastAsia" w:ascii="宋体" w:hAnsi="宋体" w:eastAsia="宋体" w:cs="宋体"/>
          <w:sz w:val="24"/>
          <w:szCs w:val="24"/>
          <w:lang w:val="en-US" w:eastAsia="zh-CN"/>
        </w:rPr>
        <w:t>注：供应商需提供含税报价和不含税报价，以不含税价报价作为评标价，以含税报价作为中标价签订合同。</w:t>
      </w:r>
    </w:p>
    <w:p>
      <w:pPr>
        <w:tabs>
          <w:tab w:val="left" w:pos="2715"/>
        </w:tabs>
        <w:spacing w:line="360" w:lineRule="auto"/>
        <w:jc w:val="left"/>
        <w:rPr>
          <w:rFonts w:hint="eastAsia" w:ascii="宋体" w:hAnsi="宋体" w:eastAsia="宋体" w:cs="宋体"/>
          <w:sz w:val="24"/>
          <w:szCs w:val="24"/>
        </w:rPr>
      </w:pPr>
    </w:p>
    <w:p>
      <w:pPr>
        <w:widowControl/>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br w:type="page"/>
      </w:r>
    </w:p>
    <w:p>
      <w:pPr>
        <w:spacing w:line="360" w:lineRule="auto"/>
        <w:jc w:val="left"/>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w:t>
      </w:r>
    </w:p>
    <w:p>
      <w:pPr>
        <w:pStyle w:val="5"/>
        <w:widowControl/>
        <w:spacing w:beforeAutospacing="0" w:after="150" w:afterAutospacing="0" w:line="360" w:lineRule="auto"/>
        <w:ind w:left="-362" w:right="-362"/>
        <w:jc w:val="center"/>
        <w:rPr>
          <w:rFonts w:hint="eastAsia" w:ascii="宋体" w:hAnsi="宋体" w:eastAsia="宋体" w:cs="宋体"/>
          <w:sz w:val="24"/>
          <w:szCs w:val="24"/>
        </w:rPr>
      </w:pPr>
      <w:r>
        <w:rPr>
          <w:rStyle w:val="8"/>
          <w:rFonts w:hint="eastAsia" w:ascii="宋体" w:hAnsi="宋体" w:eastAsia="宋体" w:cs="宋体"/>
          <w:color w:val="393939"/>
          <w:sz w:val="24"/>
          <w:szCs w:val="24"/>
          <w:shd w:val="clear" w:color="auto" w:fill="FFFFFF"/>
        </w:rPr>
        <w:t>法定代表人授权书</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 </w:t>
      </w:r>
    </w:p>
    <w:p>
      <w:pPr>
        <w:pStyle w:val="5"/>
        <w:widowControl/>
        <w:spacing w:beforeAutospacing="0" w:after="150" w:afterAutospacing="0" w:line="360" w:lineRule="auto"/>
        <w:ind w:left="-363" w:right="-363"/>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致：福建省电子口岸运营服务有限公司：</w:t>
      </w:r>
    </w:p>
    <w:p>
      <w:pPr>
        <w:pStyle w:val="5"/>
        <w:widowControl/>
        <w:spacing w:beforeAutospacing="0" w:after="150" w:afterAutospacing="0" w:line="360" w:lineRule="auto"/>
        <w:ind w:left="-363" w:right="-363" w:firstLine="420"/>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我方的法定代表人</w:t>
      </w:r>
      <w:r>
        <w:rPr>
          <w:rFonts w:hint="eastAsia" w:ascii="宋体" w:hAnsi="宋体" w:eastAsia="宋体" w:cs="宋体"/>
          <w:color w:val="393939"/>
          <w:sz w:val="24"/>
          <w:szCs w:val="24"/>
          <w:u w:val="single"/>
          <w:shd w:val="clear" w:color="auto" w:fill="FFFFFF"/>
        </w:rPr>
        <w:t>（填写“法定代表人全名”）</w:t>
      </w:r>
      <w:r>
        <w:rPr>
          <w:rFonts w:hint="eastAsia" w:ascii="宋体" w:hAnsi="宋体" w:eastAsia="宋体" w:cs="宋体"/>
          <w:color w:val="393939"/>
          <w:sz w:val="24"/>
          <w:szCs w:val="24"/>
          <w:shd w:val="clear" w:color="auto" w:fill="FFFFFF"/>
        </w:rPr>
        <w:t>授权</w:t>
      </w:r>
      <w:r>
        <w:rPr>
          <w:rFonts w:hint="eastAsia" w:ascii="宋体" w:hAnsi="宋体" w:eastAsia="宋体" w:cs="宋体"/>
          <w:color w:val="393939"/>
          <w:sz w:val="24"/>
          <w:szCs w:val="24"/>
          <w:u w:val="single"/>
          <w:shd w:val="clear" w:color="auto" w:fill="FFFFFF"/>
        </w:rPr>
        <w:t>（填写“被授权人姓名”）</w:t>
      </w:r>
      <w:r>
        <w:rPr>
          <w:rFonts w:hint="eastAsia" w:ascii="宋体" w:hAnsi="宋体" w:eastAsia="宋体" w:cs="宋体"/>
          <w:color w:val="393939"/>
          <w:sz w:val="24"/>
          <w:szCs w:val="24"/>
          <w:shd w:val="clear" w:color="auto" w:fill="FFFFFF"/>
        </w:rPr>
        <w:t>为供应商代表，代表我方参加</w:t>
      </w:r>
      <w:r>
        <w:rPr>
          <w:rFonts w:hint="eastAsia" w:ascii="宋体" w:hAnsi="宋体" w:eastAsia="宋体" w:cs="宋体"/>
          <w:color w:val="393939"/>
          <w:sz w:val="24"/>
          <w:szCs w:val="24"/>
          <w:u w:val="single"/>
          <w:shd w:val="clear" w:color="auto" w:fill="FFFFFF"/>
        </w:rPr>
        <w:t>（填写“项目名称”）</w:t>
      </w:r>
      <w:r>
        <w:rPr>
          <w:rFonts w:hint="eastAsia" w:ascii="宋体" w:hAnsi="宋体" w:eastAsia="宋体" w:cs="宋体"/>
          <w:color w:val="393939"/>
          <w:sz w:val="24"/>
          <w:szCs w:val="24"/>
          <w:shd w:val="clear" w:color="auto" w:fill="FFFFFF"/>
        </w:rPr>
        <w:t>，全权代表我方处理询价过程的一切事宜，包括但不限于：提交响应文件、参加谈判、澄清、签约等。供应商代表在询价过程中所签署的一切文件和处理与之有关的一切事务，我方均予以认可并对此承担责任。</w:t>
      </w:r>
    </w:p>
    <w:p>
      <w:pPr>
        <w:pStyle w:val="5"/>
        <w:widowControl/>
        <w:spacing w:beforeAutospacing="0" w:after="150" w:afterAutospacing="0" w:line="360" w:lineRule="auto"/>
        <w:ind w:left="-363" w:right="-363" w:firstLine="420"/>
        <w:jc w:val="both"/>
        <w:rPr>
          <w:rFonts w:hint="eastAsia" w:ascii="宋体" w:hAnsi="宋体" w:eastAsia="宋体" w:cs="宋体"/>
          <w:color w:val="393939"/>
          <w:sz w:val="24"/>
          <w:szCs w:val="24"/>
          <w:shd w:val="clear" w:color="auto" w:fill="FFFFFF"/>
        </w:rPr>
      </w:pPr>
    </w:p>
    <w:p>
      <w:pPr>
        <w:pStyle w:val="5"/>
        <w:widowControl/>
        <w:spacing w:beforeAutospacing="0" w:after="150" w:afterAutospacing="0" w:line="360" w:lineRule="auto"/>
        <w:ind w:left="-363" w:right="-363" w:firstLine="420"/>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供应商代表无转委权。特此授权。</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（以下无正文）</w:t>
      </w:r>
    </w:p>
    <w:p>
      <w:pPr>
        <w:pStyle w:val="5"/>
        <w:widowControl/>
        <w:spacing w:beforeAutospacing="0" w:after="150" w:afterAutospacing="0" w:line="360" w:lineRule="auto"/>
        <w:ind w:right="-362"/>
        <w:jc w:val="both"/>
        <w:rPr>
          <w:rFonts w:hint="eastAsia" w:ascii="宋体" w:hAnsi="宋体" w:eastAsia="宋体" w:cs="宋体"/>
          <w:sz w:val="24"/>
          <w:szCs w:val="24"/>
          <w:lang w:eastAsia="zh-CN"/>
        </w:rPr>
      </w:pP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u w:val="single"/>
          <w:shd w:val="clear" w:color="auto" w:fill="FFFFFF"/>
        </w:rPr>
      </w:pPr>
      <w:r>
        <w:rPr>
          <w:rFonts w:hint="eastAsia" w:ascii="宋体" w:hAnsi="宋体" w:eastAsia="宋体" w:cs="宋体"/>
          <w:color w:val="393939"/>
          <w:sz w:val="24"/>
          <w:szCs w:val="24"/>
          <w:shd w:val="clear" w:color="auto" w:fill="FFFFFF"/>
        </w:rPr>
        <w:t>法定代表人：</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u w:val="single"/>
          <w:shd w:val="clear" w:color="auto" w:fill="FFFFFF"/>
        </w:rPr>
      </w:pPr>
      <w:r>
        <w:rPr>
          <w:rFonts w:hint="eastAsia" w:ascii="宋体" w:hAnsi="宋体" w:eastAsia="宋体" w:cs="宋体"/>
          <w:color w:val="393939"/>
          <w:sz w:val="24"/>
          <w:szCs w:val="24"/>
          <w:shd w:val="clear" w:color="auto" w:fill="FFFFFF"/>
        </w:rPr>
        <w:t>身份证号：</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u w:val="single"/>
          <w:shd w:val="clear" w:color="auto" w:fill="FFFFFF"/>
        </w:rPr>
      </w:pPr>
      <w:r>
        <w:rPr>
          <w:rFonts w:hint="eastAsia" w:ascii="宋体" w:hAnsi="宋体" w:eastAsia="宋体" w:cs="宋体"/>
          <w:color w:val="393939"/>
          <w:sz w:val="24"/>
          <w:szCs w:val="24"/>
          <w:shd w:val="clear" w:color="auto" w:fill="FFFFFF"/>
        </w:rPr>
        <w:t>手机：</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u w:val="single"/>
          <w:shd w:val="clear" w:color="auto" w:fill="FFFFFF"/>
        </w:rPr>
      </w:pPr>
      <w:r>
        <w:rPr>
          <w:rFonts w:hint="eastAsia" w:ascii="宋体" w:hAnsi="宋体" w:eastAsia="宋体" w:cs="宋体"/>
          <w:color w:val="393939"/>
          <w:sz w:val="24"/>
          <w:szCs w:val="24"/>
          <w:shd w:val="clear" w:color="auto" w:fill="FFFFFF"/>
        </w:rPr>
        <w:t>被授权人：</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u w:val="single"/>
          <w:shd w:val="clear" w:color="auto" w:fill="FFFFFF"/>
        </w:rPr>
      </w:pPr>
      <w:r>
        <w:rPr>
          <w:rFonts w:hint="eastAsia" w:ascii="宋体" w:hAnsi="宋体" w:eastAsia="宋体" w:cs="宋体"/>
          <w:color w:val="393939"/>
          <w:sz w:val="24"/>
          <w:szCs w:val="24"/>
          <w:shd w:val="clear" w:color="auto" w:fill="FFFFFF"/>
        </w:rPr>
        <w:t>身份证号：</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手机：</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授权方：单位名称：</w:t>
      </w:r>
      <w:r>
        <w:rPr>
          <w:rFonts w:hint="eastAsia" w:ascii="宋体" w:hAnsi="宋体" w:eastAsia="宋体" w:cs="宋体"/>
          <w:color w:val="393939"/>
          <w:sz w:val="24"/>
          <w:szCs w:val="24"/>
          <w:u w:val="single"/>
          <w:shd w:val="clear" w:color="auto" w:fill="FFFFFF"/>
        </w:rPr>
        <w:t>（全称并加盖单位公章）</w:t>
      </w:r>
    </w:p>
    <w:p>
      <w:pPr>
        <w:pStyle w:val="5"/>
        <w:widowControl/>
        <w:spacing w:beforeAutospacing="0" w:after="150" w:afterAutospacing="0" w:line="360" w:lineRule="auto"/>
        <w:ind w:left="-362" w:right="-362"/>
        <w:jc w:val="both"/>
        <w:rPr>
          <w:rFonts w:hint="eastAsia" w:ascii="宋体" w:hAnsi="宋体" w:eastAsia="宋体" w:cs="宋体"/>
          <w:color w:val="393939"/>
          <w:sz w:val="24"/>
          <w:szCs w:val="24"/>
          <w:shd w:val="clear" w:color="auto" w:fill="FFFFFF"/>
        </w:rPr>
      </w:pP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法定代表人签字或盖章：</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被授权人代表签字：</w:t>
      </w:r>
      <w:r>
        <w:rPr>
          <w:rFonts w:hint="eastAsia" w:ascii="宋体" w:hAnsi="宋体" w:eastAsia="宋体" w:cs="宋体"/>
          <w:color w:val="393939"/>
          <w:sz w:val="24"/>
          <w:szCs w:val="24"/>
          <w:u w:val="single"/>
          <w:shd w:val="clear" w:color="auto" w:fill="FFFFFF"/>
        </w:rPr>
        <w:t>                   </w:t>
      </w: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附：授权方、被授权人代表的身份证正反面复印件</w:t>
      </w:r>
    </w:p>
    <w:tbl>
      <w:tblPr>
        <w:tblStyle w:val="6"/>
        <w:tblW w:w="8520" w:type="dxa"/>
        <w:tblInd w:w="-362"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widowControl/>
              <w:spacing w:beforeAutospacing="0" w:after="150" w:afterAutospacing="0" w:line="360" w:lineRule="auto"/>
              <w:jc w:val="both"/>
              <w:rPr>
                <w:rFonts w:hint="eastAsia" w:ascii="宋体" w:hAnsi="宋体" w:eastAsia="宋体" w:cs="宋体"/>
                <w:sz w:val="24"/>
                <w:szCs w:val="24"/>
              </w:rPr>
            </w:pPr>
            <w:r>
              <w:rPr>
                <w:rStyle w:val="8"/>
                <w:rFonts w:hint="eastAsia" w:ascii="宋体" w:hAnsi="宋体" w:eastAsia="宋体" w:cs="宋体"/>
                <w:sz w:val="24"/>
                <w:szCs w:val="24"/>
              </w:rPr>
              <w:t> </w:t>
            </w:r>
          </w:p>
          <w:p>
            <w:pPr>
              <w:pStyle w:val="5"/>
              <w:widowControl/>
              <w:spacing w:beforeAutospacing="0" w:after="150" w:afterAutospacing="0" w:line="360" w:lineRule="auto"/>
              <w:jc w:val="both"/>
              <w:rPr>
                <w:rFonts w:hint="eastAsia" w:ascii="宋体" w:hAnsi="宋体" w:eastAsia="宋体" w:cs="宋体"/>
                <w:sz w:val="24"/>
                <w:szCs w:val="24"/>
              </w:rPr>
            </w:pPr>
            <w:r>
              <w:rPr>
                <w:rStyle w:val="8"/>
                <w:rFonts w:hint="eastAsia" w:ascii="宋体" w:hAnsi="宋体" w:eastAsia="宋体" w:cs="宋体"/>
                <w:sz w:val="24"/>
                <w:szCs w:val="24"/>
              </w:rPr>
              <w:t>要求：真实有效且内容完整、清晰、整洁。</w:t>
            </w:r>
          </w:p>
          <w:p>
            <w:pPr>
              <w:pStyle w:val="5"/>
              <w:widowControl/>
              <w:spacing w:beforeAutospacing="0" w:after="150" w:afterAutospacing="0" w:line="360" w:lineRule="auto"/>
              <w:jc w:val="both"/>
              <w:rPr>
                <w:rFonts w:hint="eastAsia" w:ascii="宋体" w:hAnsi="宋体" w:eastAsia="宋体" w:cs="宋体"/>
                <w:sz w:val="24"/>
                <w:szCs w:val="24"/>
              </w:rPr>
            </w:pPr>
            <w:r>
              <w:rPr>
                <w:rStyle w:val="8"/>
                <w:rFonts w:hint="eastAsia" w:ascii="宋体" w:hAnsi="宋体" w:eastAsia="宋体" w:cs="宋体"/>
                <w:sz w:val="24"/>
                <w:szCs w:val="24"/>
              </w:rPr>
              <w:t> </w:t>
            </w:r>
          </w:p>
        </w:tc>
      </w:tr>
    </w:tbl>
    <w:p>
      <w:pPr>
        <w:pStyle w:val="5"/>
        <w:widowControl/>
        <w:spacing w:beforeAutospacing="0" w:after="150" w:afterAutospacing="0" w:line="360" w:lineRule="auto"/>
        <w:ind w:right="-362"/>
        <w:jc w:val="both"/>
        <w:rPr>
          <w:rFonts w:hint="eastAsia" w:ascii="宋体" w:hAnsi="宋体" w:eastAsia="宋体" w:cs="宋体"/>
          <w:sz w:val="24"/>
          <w:szCs w:val="24"/>
        </w:rPr>
      </w:pPr>
    </w:p>
    <w:p>
      <w:pPr>
        <w:pStyle w:val="5"/>
        <w:widowControl/>
        <w:spacing w:beforeAutospacing="0" w:after="150" w:afterAutospacing="0" w:line="360" w:lineRule="auto"/>
        <w:ind w:left="-362" w:right="-362"/>
        <w:jc w:val="both"/>
        <w:rPr>
          <w:rFonts w:hint="eastAsia" w:ascii="宋体" w:hAnsi="宋体" w:eastAsia="宋体" w:cs="宋体"/>
          <w:sz w:val="24"/>
          <w:szCs w:val="24"/>
        </w:rPr>
      </w:pPr>
    </w:p>
    <w:p>
      <w:pPr>
        <w:pStyle w:val="5"/>
        <w:widowControl/>
        <w:spacing w:beforeAutospacing="0" w:after="150" w:afterAutospacing="0" w:line="360" w:lineRule="auto"/>
        <w:ind w:left="-362" w:right="-362"/>
        <w:jc w:val="both"/>
        <w:rPr>
          <w:rFonts w:hint="eastAsia" w:ascii="宋体" w:hAnsi="宋体" w:eastAsia="宋体" w:cs="宋体"/>
          <w:sz w:val="24"/>
          <w:szCs w:val="24"/>
        </w:rPr>
      </w:pPr>
      <w:r>
        <w:rPr>
          <w:rFonts w:hint="eastAsia" w:ascii="宋体" w:hAnsi="宋体" w:eastAsia="宋体" w:cs="宋体"/>
          <w:color w:val="393939"/>
          <w:sz w:val="24"/>
          <w:szCs w:val="24"/>
          <w:shd w:val="clear" w:color="auto" w:fill="FFFFFF"/>
        </w:rPr>
        <w:t>签署日期：</w:t>
      </w:r>
      <w:r>
        <w:rPr>
          <w:rFonts w:hint="eastAsia" w:ascii="宋体" w:hAnsi="宋体" w:eastAsia="宋体" w:cs="宋体"/>
          <w:color w:val="393939"/>
          <w:sz w:val="24"/>
          <w:szCs w:val="24"/>
          <w:u w:val="single"/>
          <w:shd w:val="clear" w:color="auto" w:fill="FFFFFF"/>
        </w:rPr>
        <w:t>    </w:t>
      </w:r>
      <w:r>
        <w:rPr>
          <w:rFonts w:hint="eastAsia" w:ascii="宋体" w:hAnsi="宋体" w:eastAsia="宋体" w:cs="宋体"/>
          <w:color w:val="393939"/>
          <w:sz w:val="24"/>
          <w:szCs w:val="24"/>
          <w:shd w:val="clear" w:color="auto" w:fill="FFFFFF"/>
        </w:rPr>
        <w:t>年</w:t>
      </w:r>
      <w:r>
        <w:rPr>
          <w:rFonts w:hint="eastAsia" w:ascii="宋体" w:hAnsi="宋体" w:eastAsia="宋体" w:cs="宋体"/>
          <w:color w:val="393939"/>
          <w:sz w:val="24"/>
          <w:szCs w:val="24"/>
          <w:u w:val="single"/>
          <w:shd w:val="clear" w:color="auto" w:fill="FFFFFF"/>
        </w:rPr>
        <w:t>   </w:t>
      </w:r>
      <w:r>
        <w:rPr>
          <w:rFonts w:hint="eastAsia" w:ascii="宋体" w:hAnsi="宋体" w:eastAsia="宋体" w:cs="宋体"/>
          <w:color w:val="393939"/>
          <w:sz w:val="24"/>
          <w:szCs w:val="24"/>
          <w:shd w:val="clear" w:color="auto" w:fill="FFFFFF"/>
        </w:rPr>
        <w:t>月</w:t>
      </w:r>
      <w:r>
        <w:rPr>
          <w:rFonts w:hint="eastAsia" w:ascii="宋体" w:hAnsi="宋体" w:eastAsia="宋体" w:cs="宋体"/>
          <w:color w:val="393939"/>
          <w:sz w:val="24"/>
          <w:szCs w:val="24"/>
          <w:u w:val="single"/>
          <w:shd w:val="clear" w:color="auto" w:fill="FFFFFF"/>
        </w:rPr>
        <w:t>   </w:t>
      </w:r>
      <w:r>
        <w:rPr>
          <w:rFonts w:hint="eastAsia" w:ascii="宋体" w:hAnsi="宋体" w:eastAsia="宋体" w:cs="宋体"/>
          <w:color w:val="393939"/>
          <w:sz w:val="24"/>
          <w:szCs w:val="24"/>
          <w:shd w:val="clear" w:color="auto" w:fill="FFFFFF"/>
        </w:rPr>
        <w:t>日</w:t>
      </w:r>
    </w:p>
    <w:p>
      <w:pPr>
        <w:spacing w:line="360" w:lineRule="auto"/>
        <w:rPr>
          <w:rFonts w:hint="eastAsia" w:ascii="宋体" w:hAnsi="宋体" w:eastAsia="宋体" w:cs="宋体"/>
          <w:sz w:val="24"/>
          <w:szCs w:val="24"/>
        </w:rPr>
      </w:pPr>
    </w:p>
    <w:p>
      <w:pPr>
        <w:widowControl/>
        <w:spacing w:line="360" w:lineRule="auto"/>
        <w:rPr>
          <w:rFonts w:hint="eastAsia" w:ascii="宋体" w:hAnsi="宋体" w:eastAsia="宋体" w:cs="宋体"/>
          <w:sz w:val="24"/>
          <w:szCs w:val="24"/>
        </w:rPr>
      </w:pPr>
    </w:p>
    <w:p>
      <w:pPr>
        <w:widowControl/>
        <w:spacing w:line="360" w:lineRule="auto"/>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pStyle w:val="5"/>
        <w:widowControl/>
        <w:shd w:val="clear" w:color="auto" w:fill="FFFFFF"/>
        <w:spacing w:beforeAutospacing="0" w:afterAutospacing="0" w:line="360" w:lineRule="auto"/>
        <w:rPr>
          <w:rFonts w:hint="eastAsia" w:ascii="宋体" w:hAnsi="宋体" w:eastAsia="宋体" w:cs="宋体"/>
          <w:bCs/>
          <w:color w:val="000000"/>
          <w:sz w:val="24"/>
          <w:szCs w:val="24"/>
        </w:rPr>
      </w:pPr>
    </w:p>
    <w:p>
      <w:pPr>
        <w:rPr>
          <w:rFonts w:hint="eastAsia" w:ascii="宋体" w:hAnsi="宋体" w:eastAsia="宋体" w:cs="宋体"/>
          <w:bCs/>
          <w:sz w:val="24"/>
          <w:szCs w:val="24"/>
          <w:lang w:val="en-US" w:eastAsia="zh-Hans"/>
        </w:rPr>
      </w:pPr>
      <w:r>
        <w:rPr>
          <w:rFonts w:hint="eastAsia" w:ascii="宋体" w:hAnsi="宋体" w:eastAsia="宋体" w:cs="宋体"/>
          <w:bCs/>
          <w:sz w:val="24"/>
          <w:szCs w:val="24"/>
          <w:lang w:val="en-US" w:eastAsia="zh-Hans"/>
        </w:rPr>
        <w:br w:type="page"/>
      </w:r>
    </w:p>
    <w:p>
      <w:pPr>
        <w:bidi w:val="0"/>
        <w:rPr>
          <w:b/>
          <w:sz w:val="28"/>
        </w:rPr>
      </w:pPr>
      <w:r>
        <w:rPr>
          <w:rFonts w:hint="eastAsia" w:ascii="宋体" w:hAnsi="宋体" w:eastAsia="宋体" w:cs="宋体"/>
          <w:b/>
          <w:bCs/>
          <w:kern w:val="2"/>
          <w:sz w:val="24"/>
          <w:szCs w:val="24"/>
          <w:lang w:val="en-US" w:eastAsia="zh-CN" w:bidi="ar-SA"/>
        </w:rPr>
        <w:t>附件3：</w:t>
      </w:r>
      <w:r>
        <w:rPr>
          <w:b/>
          <w:sz w:val="28"/>
        </w:rPr>
        <w:t xml:space="preserve"> </w:t>
      </w:r>
    </w:p>
    <w:p>
      <w:pPr>
        <w:bidi w:val="0"/>
        <w:jc w:val="center"/>
        <w:rPr>
          <w:b/>
          <w:bCs/>
          <w:sz w:val="30"/>
          <w:szCs w:val="30"/>
        </w:rPr>
      </w:pPr>
      <w:r>
        <w:rPr>
          <w:b/>
          <w:bCs/>
          <w:sz w:val="30"/>
          <w:szCs w:val="30"/>
        </w:rPr>
        <w:t>技术、商务、服务响应承诺</w:t>
      </w:r>
    </w:p>
    <w:p>
      <w:pPr>
        <w:pStyle w:val="9"/>
        <w:spacing w:line="360" w:lineRule="auto"/>
        <w:ind w:firstLine="480"/>
        <w:jc w:val="left"/>
        <w:rPr>
          <w:rFonts w:hint="eastAsia" w:ascii="宋体" w:hAnsi="宋体" w:eastAsia="宋体" w:cs="宋体"/>
          <w:sz w:val="24"/>
          <w:szCs w:val="24"/>
        </w:rPr>
      </w:pPr>
    </w:p>
    <w:p>
      <w:pPr>
        <w:pStyle w:val="9"/>
        <w:spacing w:line="360" w:lineRule="auto"/>
        <w:ind w:firstLine="480"/>
        <w:jc w:val="left"/>
        <w:rPr>
          <w:rFonts w:hint="eastAsia" w:ascii="宋体" w:hAnsi="宋体" w:eastAsia="宋体" w:cs="宋体"/>
          <w:sz w:val="24"/>
          <w:szCs w:val="24"/>
        </w:rPr>
      </w:pPr>
    </w:p>
    <w:p>
      <w:pPr>
        <w:pStyle w:val="9"/>
        <w:spacing w:line="360" w:lineRule="auto"/>
        <w:ind w:firstLine="480"/>
        <w:jc w:val="left"/>
        <w:rPr>
          <w:rFonts w:hint="eastAsia" w:ascii="宋体" w:hAnsi="宋体" w:eastAsia="宋体" w:cs="宋体"/>
          <w:sz w:val="24"/>
          <w:szCs w:val="24"/>
        </w:rPr>
      </w:pP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highlight w:val="none"/>
          <w:lang w:val="en-US" w:eastAsia="zh-CN"/>
        </w:rPr>
        <w:t>我司完全</w:t>
      </w:r>
      <w:r>
        <w:rPr>
          <w:rFonts w:hint="eastAsia" w:ascii="宋体" w:hAnsi="宋体" w:eastAsia="宋体" w:cs="宋体"/>
          <w:sz w:val="24"/>
          <w:szCs w:val="24"/>
          <w:highlight w:val="none"/>
          <w:lang w:eastAsia="zh-CN"/>
        </w:rPr>
        <w:t xml:space="preserve">响应采购文件“第三章 </w:t>
      </w:r>
      <w:r>
        <w:rPr>
          <w:rFonts w:hint="eastAsia" w:ascii="宋体" w:hAnsi="宋体" w:eastAsia="宋体" w:cs="宋体"/>
          <w:sz w:val="24"/>
          <w:szCs w:val="24"/>
          <w:highlight w:val="none"/>
          <w:lang w:val="en-US" w:eastAsia="zh-CN"/>
        </w:rPr>
        <w:t>采购内容及</w:t>
      </w:r>
      <w:r>
        <w:rPr>
          <w:rFonts w:hint="eastAsia" w:ascii="宋体" w:hAnsi="宋体" w:eastAsia="宋体" w:cs="宋体"/>
          <w:sz w:val="24"/>
          <w:szCs w:val="24"/>
          <w:highlight w:val="none"/>
          <w:lang w:eastAsia="zh-CN"/>
        </w:rPr>
        <w:t>要求”中的任何一项要求。</w:t>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pStyle w:val="9"/>
        <w:spacing w:line="360" w:lineRule="auto"/>
        <w:ind w:firstLine="480"/>
        <w:jc w:val="right"/>
        <w:rPr>
          <w:rFonts w:hint="eastAsia" w:ascii="宋体" w:hAnsi="宋体" w:eastAsia="宋体" w:cs="宋体"/>
          <w:sz w:val="24"/>
          <w:szCs w:val="24"/>
        </w:rPr>
      </w:pPr>
      <w:r>
        <w:rPr>
          <w:rFonts w:hint="eastAsia" w:ascii="宋体" w:hAnsi="宋体" w:eastAsia="宋体" w:cs="宋体"/>
          <w:sz w:val="24"/>
          <w:szCs w:val="24"/>
        </w:rPr>
        <w:t>供应商代表</w:t>
      </w:r>
      <w:r>
        <w:rPr>
          <w:rFonts w:hint="eastAsia" w:ascii="宋体" w:hAnsi="宋体" w:eastAsia="宋体" w:cs="宋体"/>
          <w:sz w:val="24"/>
          <w:szCs w:val="24"/>
          <w:u w:val="single"/>
        </w:rPr>
        <w:t>（签字）</w:t>
      </w:r>
    </w:p>
    <w:p>
      <w:pPr>
        <w:pStyle w:val="9"/>
        <w:spacing w:line="360" w:lineRule="auto"/>
        <w:ind w:firstLine="480"/>
        <w:jc w:val="right"/>
        <w:rPr>
          <w:rFonts w:hint="eastAsia" w:ascii="宋体" w:hAnsi="宋体" w:eastAsia="宋体" w:cs="宋体"/>
          <w:sz w:val="24"/>
          <w:szCs w:val="24"/>
        </w:rPr>
      </w:pPr>
      <w:r>
        <w:rPr>
          <w:rFonts w:hint="eastAsia" w:ascii="宋体" w:hAnsi="宋体" w:eastAsia="宋体" w:cs="宋体"/>
          <w:sz w:val="24"/>
          <w:szCs w:val="24"/>
        </w:rPr>
        <w:t>供应商名称</w:t>
      </w:r>
      <w:r>
        <w:rPr>
          <w:rFonts w:hint="eastAsia" w:ascii="宋体" w:hAnsi="宋体" w:eastAsia="宋体" w:cs="宋体"/>
          <w:sz w:val="24"/>
          <w:szCs w:val="24"/>
          <w:u w:val="single"/>
        </w:rPr>
        <w:t>（全称并加盖公章）</w:t>
      </w:r>
    </w:p>
    <w:p>
      <w:pPr>
        <w:pStyle w:val="9"/>
        <w:spacing w:line="360" w:lineRule="auto"/>
        <w:ind w:firstLine="480"/>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bidi w:val="0"/>
        <w:rPr>
          <w:rFonts w:hint="eastAsia" w:ascii="宋体" w:hAnsi="宋体" w:eastAsia="宋体" w:cs="宋体"/>
          <w:b/>
          <w:bCs/>
          <w:sz w:val="36"/>
          <w:szCs w:val="36"/>
        </w:rPr>
      </w:pPr>
      <w:r>
        <w:rPr>
          <w:rFonts w:hint="eastAsia" w:ascii="宋体" w:hAnsi="宋体" w:eastAsia="宋体" w:cs="宋体"/>
          <w:b/>
          <w:bCs/>
          <w:kern w:val="2"/>
          <w:sz w:val="24"/>
          <w:szCs w:val="24"/>
          <w:lang w:val="en-US" w:eastAsia="zh-CN" w:bidi="ar-SA"/>
        </w:rPr>
        <w:t>附件4：</w:t>
      </w:r>
      <w:r>
        <w:rPr>
          <w:b/>
          <w:sz w:val="28"/>
        </w:rPr>
        <w:t xml:space="preserve"> </w:t>
      </w:r>
    </w:p>
    <w:p>
      <w:pPr>
        <w:pStyle w:val="9"/>
        <w:spacing w:line="360" w:lineRule="auto"/>
        <w:ind w:firstLine="480"/>
        <w:jc w:val="center"/>
        <w:rPr>
          <w:rFonts w:hint="eastAsia" w:ascii="宋体" w:hAnsi="宋体" w:eastAsia="宋体" w:cs="宋体"/>
          <w:b/>
          <w:bCs/>
          <w:sz w:val="30"/>
          <w:szCs w:val="30"/>
        </w:rPr>
      </w:pPr>
      <w:r>
        <w:rPr>
          <w:rFonts w:hint="eastAsia" w:ascii="宋体" w:hAnsi="宋体" w:eastAsia="宋体" w:cs="宋体"/>
          <w:b/>
          <w:bCs/>
          <w:sz w:val="30"/>
          <w:szCs w:val="30"/>
          <w:lang w:val="en-US" w:eastAsia="zh-CN"/>
        </w:rPr>
        <w:t>具备</w:t>
      </w:r>
      <w:r>
        <w:rPr>
          <w:rFonts w:hint="eastAsia" w:ascii="宋体" w:hAnsi="宋体" w:eastAsia="宋体" w:cs="宋体"/>
          <w:b/>
          <w:bCs/>
          <w:sz w:val="30"/>
          <w:szCs w:val="30"/>
        </w:rPr>
        <w:t>资格证明材料承诺函</w:t>
      </w:r>
    </w:p>
    <w:p>
      <w:pPr>
        <w:pStyle w:val="9"/>
        <w:spacing w:line="360" w:lineRule="auto"/>
        <w:jc w:val="left"/>
        <w:rPr>
          <w:rFonts w:hint="eastAsia" w:ascii="宋体" w:hAnsi="宋体" w:eastAsia="宋体" w:cs="宋体"/>
          <w:sz w:val="24"/>
          <w:szCs w:val="24"/>
          <w:lang w:val="en-US" w:eastAsia="zh-CN"/>
        </w:rPr>
      </w:pPr>
    </w:p>
    <w:p>
      <w:pPr>
        <w:pStyle w:val="9"/>
        <w:spacing w:line="360" w:lineRule="auto"/>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致：福建省电子口岸运营服务有限公司</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lang w:val="en-US" w:eastAsia="zh-CN"/>
        </w:rPr>
        <w:t>司</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(供应商名称)已认真阅读《中华人民共和国政府采购法》及</w:t>
      </w:r>
      <w:r>
        <w:rPr>
          <w:rFonts w:hint="eastAsia" w:ascii="宋体" w:hAnsi="宋体" w:eastAsia="宋体" w:cs="宋体"/>
          <w:sz w:val="24"/>
          <w:szCs w:val="24"/>
          <w:lang w:val="en-US" w:eastAsia="zh-CN"/>
        </w:rPr>
        <w:t>关于</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(项目名称)竞争性谈判</w:t>
      </w:r>
      <w:r>
        <w:rPr>
          <w:rFonts w:hint="eastAsia" w:ascii="宋体" w:hAnsi="宋体" w:eastAsia="宋体" w:cs="宋体"/>
          <w:sz w:val="24"/>
          <w:szCs w:val="24"/>
          <w:lang w:val="en-US" w:eastAsia="zh-CN"/>
        </w:rPr>
        <w:t>文件中全部内容</w:t>
      </w:r>
      <w:r>
        <w:rPr>
          <w:rFonts w:hint="eastAsia" w:ascii="宋体" w:hAnsi="宋体" w:eastAsia="宋体" w:cs="宋体"/>
          <w:sz w:val="24"/>
          <w:szCs w:val="24"/>
        </w:rPr>
        <w:t>。此次按《竞争性谈判公告》</w:t>
      </w:r>
      <w:r>
        <w:rPr>
          <w:rFonts w:hint="eastAsia" w:ascii="宋体" w:hAnsi="宋体" w:eastAsia="宋体" w:cs="宋体"/>
          <w:sz w:val="24"/>
          <w:szCs w:val="24"/>
          <w:lang w:val="en-US" w:eastAsia="zh-CN"/>
        </w:rPr>
        <w:t>中</w:t>
      </w:r>
      <w:r>
        <w:rPr>
          <w:rFonts w:hint="eastAsia" w:ascii="宋体" w:hAnsi="宋体" w:eastAsia="宋体" w:cs="宋体"/>
          <w:sz w:val="24"/>
          <w:szCs w:val="24"/>
        </w:rPr>
        <w:t>要求提交的供应商资格证明材料，已经认真核对和检查，全部内容真实、合法、准确和完整，我们对此负责，并愿承担由此引起的法律责任。</w:t>
      </w:r>
    </w:p>
    <w:p>
      <w:pPr>
        <w:pStyle w:val="9"/>
        <w:spacing w:line="360" w:lineRule="auto"/>
        <w:ind w:firstLine="48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一</w:t>
      </w:r>
      <w:r>
        <w:rPr>
          <w:rFonts w:hint="eastAsia" w:ascii="宋体" w:hAnsi="宋体" w:eastAsia="宋体" w:cs="宋体"/>
          <w:sz w:val="24"/>
          <w:szCs w:val="24"/>
        </w:rPr>
        <w:t>、我单位具有符合《中华人民共和国政府采购法》、《中华人民共和国政府采购法实施条例》及采购文件资格要求规定的良好的商业信誉和健全的财务会计制度</w:t>
      </w:r>
      <w:r>
        <w:rPr>
          <w:rFonts w:hint="eastAsia" w:ascii="宋体" w:hAnsi="宋体" w:eastAsia="宋体" w:cs="宋体"/>
          <w:sz w:val="24"/>
          <w:szCs w:val="24"/>
          <w:lang w:eastAsia="zh-CN"/>
        </w:rPr>
        <w:t>。</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我单位具有符合《中华人民共和国政府采购法》、《中华人民共和国政府采购法实施条例》及采购文件资格要求规定的依法缴纳税收和社会保障资金的相关证明材，没有偷税、漏税及欠缴行为。</w:t>
      </w:r>
    </w:p>
    <w:p>
      <w:pPr>
        <w:pStyle w:val="9"/>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我单位符合《中华人民共和国政府采购法》、《中华人民共和国政府采购法实施条例》及采购文件资格要求规定的在参加政府采购活动前三年内，在经营活动中没有重大违法记录</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w:t>
      </w:r>
      <w:r>
        <w:rPr>
          <w:rFonts w:hint="eastAsia" w:ascii="宋体" w:hAnsi="宋体" w:eastAsia="宋体" w:cs="宋体"/>
          <w:sz w:val="24"/>
          <w:szCs w:val="24"/>
        </w:rPr>
        <w:t>1、受到刑事处罚;2、受到三万元以上的罚款、责令停产停业、在一至三年内禁止参加政府采购活动、暂扣或者吊销许可证、暂扣或者吊销执照的行政处罚。</w:t>
      </w:r>
      <w:r>
        <w:rPr>
          <w:rFonts w:hint="eastAsia" w:ascii="宋体" w:hAnsi="宋体" w:eastAsia="宋体" w:cs="宋体"/>
          <w:sz w:val="24"/>
          <w:szCs w:val="24"/>
          <w:lang w:eastAsia="zh-CN"/>
        </w:rPr>
        <w:t>）</w:t>
      </w:r>
    </w:p>
    <w:p>
      <w:pPr>
        <w:pStyle w:val="9"/>
        <w:spacing w:line="360" w:lineRule="auto"/>
        <w:ind w:firstLine="480"/>
        <w:jc w:val="right"/>
        <w:rPr>
          <w:rFonts w:hint="eastAsia" w:ascii="宋体" w:hAnsi="宋体" w:eastAsia="宋体" w:cs="宋体"/>
          <w:sz w:val="24"/>
          <w:szCs w:val="24"/>
        </w:rPr>
      </w:pPr>
    </w:p>
    <w:p>
      <w:pPr>
        <w:pStyle w:val="9"/>
        <w:spacing w:line="360" w:lineRule="auto"/>
        <w:ind w:firstLine="480"/>
        <w:jc w:val="center"/>
        <w:rPr>
          <w:rFonts w:hint="eastAsia" w:ascii="宋体" w:hAnsi="宋体" w:eastAsia="宋体" w:cs="宋体"/>
          <w:sz w:val="24"/>
          <w:szCs w:val="24"/>
          <w:u w:val="single"/>
        </w:rPr>
      </w:pPr>
      <w:r>
        <w:rPr>
          <w:rFonts w:hint="eastAsia" w:ascii="宋体" w:hAnsi="宋体" w:eastAsia="宋体" w:cs="宋体"/>
          <w:sz w:val="24"/>
          <w:szCs w:val="24"/>
        </w:rPr>
        <w:t>供应商名称(盖单位章):</w:t>
      </w:r>
      <w:r>
        <w:rPr>
          <w:rFonts w:hint="eastAsia" w:ascii="宋体" w:hAnsi="宋体" w:eastAsia="宋体" w:cs="宋体"/>
          <w:sz w:val="24"/>
          <w:szCs w:val="24"/>
          <w:u w:val="none"/>
          <w:lang w:val="en-US" w:eastAsia="zh-CN"/>
        </w:rPr>
        <w:t xml:space="preserve"> </w:t>
      </w:r>
      <w:r>
        <w:rPr>
          <w:rFonts w:hint="eastAsia" w:ascii="宋体" w:hAnsi="宋体" w:eastAsia="宋体" w:cs="宋体"/>
          <w:sz w:val="24"/>
          <w:szCs w:val="24"/>
          <w:u w:val="single"/>
          <w:lang w:val="en-US" w:eastAsia="zh-CN"/>
        </w:rPr>
        <w:t xml:space="preserve">                   </w:t>
      </w:r>
    </w:p>
    <w:p>
      <w:pPr>
        <w:pStyle w:val="9"/>
        <w:spacing w:line="360" w:lineRule="auto"/>
        <w:ind w:firstLine="480"/>
        <w:jc w:val="center"/>
        <w:rPr>
          <w:rFonts w:hint="default" w:ascii="宋体" w:hAnsi="宋体" w:eastAsia="宋体" w:cs="宋体"/>
          <w:sz w:val="24"/>
          <w:szCs w:val="24"/>
          <w:u w:val="single"/>
          <w:lang w:val="en-US" w:eastAsia="zh-CN"/>
        </w:rPr>
      </w:pPr>
      <w:r>
        <w:rPr>
          <w:rFonts w:hint="eastAsia" w:ascii="宋体" w:hAnsi="宋体" w:eastAsia="宋体" w:cs="宋体"/>
          <w:sz w:val="24"/>
          <w:szCs w:val="24"/>
        </w:rPr>
        <w:t>法定代表人(签名):</w:t>
      </w:r>
      <w:r>
        <w:rPr>
          <w:rFonts w:hint="eastAsia" w:ascii="宋体" w:hAnsi="宋体" w:eastAsia="宋体" w:cs="宋体"/>
          <w:sz w:val="24"/>
          <w:szCs w:val="24"/>
          <w:u w:val="single"/>
          <w:lang w:val="en-US" w:eastAsia="zh-CN"/>
        </w:rPr>
        <w:t xml:space="preserve">                      </w:t>
      </w:r>
    </w:p>
    <w:p>
      <w:pPr>
        <w:pStyle w:val="9"/>
        <w:spacing w:line="360" w:lineRule="auto"/>
        <w:ind w:firstLine="480"/>
        <w:jc w:val="center"/>
        <w:rPr>
          <w:rFonts w:hint="default"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日</w:t>
      </w:r>
      <w:r>
        <w:rPr>
          <w:rFonts w:hint="eastAsia" w:ascii="宋体" w:hAnsi="宋体" w:eastAsia="宋体" w:cs="宋体"/>
          <w:sz w:val="24"/>
          <w:szCs w:val="24"/>
          <w:u w:val="single"/>
          <w:lang w:val="en-US" w:eastAsia="zh-CN"/>
        </w:rPr>
        <w:t xml:space="preserve">    </w:t>
      </w:r>
    </w:p>
    <w:p>
      <w:pPr>
        <w:pStyle w:val="9"/>
        <w:spacing w:line="360" w:lineRule="auto"/>
        <w:rPr>
          <w:rFonts w:hint="eastAsia" w:ascii="宋体" w:hAnsi="宋体" w:eastAsia="宋体" w:cs="宋体"/>
          <w:bCs/>
          <w:sz w:val="24"/>
          <w:szCs w:val="24"/>
          <w:lang w:val="en-US" w:eastAsia="zh-Hans"/>
        </w:rPr>
      </w:pPr>
      <w:r>
        <w:rPr>
          <w:rFonts w:hint="eastAsia" w:ascii="宋体" w:hAnsi="宋体" w:eastAsia="宋体" w:cs="宋体"/>
          <w:sz w:val="24"/>
          <w:szCs w:val="24"/>
        </w:rPr>
        <w:t xml:space="preserve"> </w:t>
      </w:r>
      <w:r>
        <w:rPr>
          <w:rFonts w:hint="eastAsia" w:ascii="宋体" w:hAnsi="宋体" w:eastAsia="宋体" w:cs="宋体"/>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G Times">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8DF17"/>
    <w:multiLevelType w:val="multilevel"/>
    <w:tmpl w:val="6F68DF17"/>
    <w:lvl w:ilvl="0" w:tentative="0">
      <w:start w:val="1"/>
      <w:numFmt w:val="chineseCountingThousand"/>
      <w:suff w:val="nothing"/>
      <w:lvlText w:val="第%1部分"/>
      <w:lvlJc w:val="left"/>
      <w:rPr>
        <w:rFonts w:hint="eastAsia" w:ascii="黑体" w:eastAsia="黑体"/>
        <w:sz w:val="32"/>
        <w:szCs w:val="32"/>
      </w:rPr>
    </w:lvl>
    <w:lvl w:ilvl="1" w:tentative="0">
      <w:start w:val="1"/>
      <w:numFmt w:val="upperLetter"/>
      <w:pStyle w:val="2"/>
      <w:suff w:val="nothing"/>
      <w:lvlText w:val="%2"/>
      <w:lvlJc w:val="left"/>
      <w:rPr>
        <w:rFonts w:hint="eastAsia" w:ascii="CG Times" w:hAnsi="CG Times" w:cs="CG Times"/>
        <w:b/>
        <w:bCs/>
        <w:i w:val="0"/>
        <w:iCs w:val="0"/>
        <w:sz w:val="28"/>
        <w:szCs w:val="28"/>
      </w:rPr>
    </w:lvl>
    <w:lvl w:ilvl="2" w:tentative="0">
      <w:start w:val="1"/>
      <w:numFmt w:val="decimal"/>
      <w:suff w:val="nothing"/>
      <w:lvlText w:val="%3"/>
      <w:lvlJc w:val="left"/>
      <w:rPr>
        <w:rFonts w:hint="eastAsia" w:ascii="宋体" w:eastAsia="宋体"/>
        <w:b/>
        <w:bCs/>
        <w:i w:val="0"/>
        <w:iCs w:val="0"/>
        <w:sz w:val="28"/>
        <w:szCs w:val="28"/>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3B52B8D"/>
    <w:rsid w:val="04B91E57"/>
    <w:rsid w:val="080E631A"/>
    <w:rsid w:val="177F50ED"/>
    <w:rsid w:val="2FE85327"/>
    <w:rsid w:val="34E02441"/>
    <w:rsid w:val="42E80552"/>
    <w:rsid w:val="4F362701"/>
    <w:rsid w:val="4F5D4DCF"/>
    <w:rsid w:val="53B52B8D"/>
    <w:rsid w:val="54BD2BD0"/>
    <w:rsid w:val="5B744C85"/>
    <w:rsid w:val="77F79321"/>
    <w:rsid w:val="7A8D64C2"/>
    <w:rsid w:val="7D3D53BF"/>
    <w:rsid w:val="7F7973D7"/>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autoRedefine/>
    <w:qFormat/>
    <w:uiPriority w:val="0"/>
    <w:pPr>
      <w:spacing w:after="12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99"/>
    <w:rPr>
      <w:b/>
    </w:rPr>
  </w:style>
  <w:style w:type="paragraph" w:customStyle="1" w:styleId="9">
    <w:name w:val="null3"/>
    <w:autoRedefine/>
    <w:hidden/>
    <w:qFormat/>
    <w:uiPriority w:val="0"/>
    <w:rPr>
      <w:rFonts w:hint="eastAsia" w:asciiTheme="minorHAnsi" w:hAnsiTheme="minorHAnsi" w:eastAsiaTheme="minorEastAsia" w:cstheme="minorBidi"/>
      <w:lang w:val="en-US" w:eastAsia="zh-Hans"/>
    </w:rPr>
  </w:style>
  <w:style w:type="paragraph" w:customStyle="1" w:styleId="10">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w</cp:lastModifiedBy>
  <dcterms:modified xsi:type="dcterms:W3CDTF">2024-04-12T06:56:47Z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0F2FD5BB2E4248F2A3E30D79A201609F_13</vt:lpwstr>
  </property>
</Properties>
</file>